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bCs/>
          <w:color w:val="auto"/>
          <w:sz w:val="36"/>
          <w:szCs w:val="36"/>
        </w:rPr>
      </w:pPr>
      <w:r>
        <w:rPr>
          <w:rFonts w:hint="eastAsia" w:ascii="方正小标宋简体" w:hAnsi="方正小标宋简体" w:eastAsia="方正小标宋简体" w:cs="方正小标宋简体"/>
          <w:b/>
          <w:bCs/>
          <w:color w:val="auto"/>
          <w:sz w:val="36"/>
          <w:szCs w:val="36"/>
        </w:rPr>
        <w:t>绥化市北林生态环境局关于绥化市永安灌区渠首</w:t>
      </w:r>
    </w:p>
    <w:p>
      <w:pPr>
        <w:jc w:val="center"/>
        <w:rPr>
          <w:rFonts w:hint="eastAsia" w:ascii="方正小标宋简体" w:hAnsi="方正小标宋简体" w:eastAsia="方正小标宋简体" w:cs="方正小标宋简体"/>
          <w:b/>
          <w:bCs/>
          <w:color w:val="auto"/>
          <w:sz w:val="36"/>
          <w:szCs w:val="36"/>
        </w:rPr>
      </w:pPr>
      <w:r>
        <w:rPr>
          <w:rFonts w:hint="eastAsia" w:ascii="方正小标宋简体" w:hAnsi="方正小标宋简体" w:eastAsia="方正小标宋简体" w:cs="方正小标宋简体"/>
          <w:b/>
          <w:bCs/>
          <w:color w:val="auto"/>
          <w:sz w:val="36"/>
          <w:szCs w:val="36"/>
        </w:rPr>
        <w:t>枢纽泄洪闸除险加固工程</w:t>
      </w:r>
      <w:r>
        <w:rPr>
          <w:rFonts w:hint="eastAsia" w:ascii="方正小标宋简体" w:hAnsi="方正小标宋简体" w:eastAsia="方正小标宋简体" w:cs="方正小标宋简体"/>
          <w:b/>
          <w:bCs/>
          <w:color w:val="auto"/>
          <w:sz w:val="36"/>
          <w:szCs w:val="36"/>
          <w:lang w:val="en-US" w:eastAsia="zh-CN"/>
        </w:rPr>
        <w:t>建设项目</w:t>
      </w:r>
      <w:r>
        <w:rPr>
          <w:rFonts w:hint="eastAsia" w:ascii="方正小标宋简体" w:hAnsi="方正小标宋简体" w:eastAsia="方正小标宋简体" w:cs="方正小标宋简体"/>
          <w:b/>
          <w:bCs/>
          <w:color w:val="auto"/>
          <w:sz w:val="36"/>
          <w:szCs w:val="36"/>
        </w:rPr>
        <w:t>环境影响</w:t>
      </w:r>
    </w:p>
    <w:p>
      <w:pPr>
        <w:jc w:val="center"/>
        <w:rPr>
          <w:rFonts w:hint="eastAsia" w:ascii="方正小标宋简体" w:hAnsi="方正小标宋简体" w:eastAsia="方正小标宋简体" w:cs="方正小标宋简体"/>
          <w:b/>
          <w:bCs/>
          <w:color w:val="auto"/>
          <w:sz w:val="36"/>
          <w:szCs w:val="36"/>
        </w:rPr>
      </w:pPr>
      <w:r>
        <w:rPr>
          <w:rFonts w:hint="eastAsia" w:ascii="方正小标宋简体" w:hAnsi="方正小标宋简体" w:eastAsia="方正小标宋简体" w:cs="方正小标宋简体"/>
          <w:b/>
          <w:bCs/>
          <w:color w:val="auto"/>
          <w:sz w:val="36"/>
          <w:szCs w:val="36"/>
        </w:rPr>
        <w:t>评价文件受理情况</w:t>
      </w:r>
      <w:r>
        <w:rPr>
          <w:rFonts w:hint="eastAsia" w:ascii="方正小标宋简体" w:hAnsi="方正小标宋简体" w:eastAsia="方正小标宋简体" w:cs="方正小标宋简体"/>
          <w:b/>
          <w:bCs/>
          <w:color w:val="auto"/>
          <w:sz w:val="36"/>
          <w:szCs w:val="36"/>
          <w:lang w:val="en-US" w:eastAsia="zh-CN"/>
        </w:rPr>
        <w:t>及</w:t>
      </w:r>
      <w:r>
        <w:rPr>
          <w:rFonts w:hint="eastAsia" w:ascii="方正小标宋简体" w:hAnsi="方正小标宋简体" w:eastAsia="方正小标宋简体" w:cs="方正小标宋简体"/>
          <w:b/>
          <w:bCs/>
          <w:sz w:val="36"/>
          <w:szCs w:val="36"/>
        </w:rPr>
        <w:t>审批意见的公示</w:t>
      </w:r>
    </w:p>
    <w:p>
      <w:pPr>
        <w:jc w:val="center"/>
        <w:rPr>
          <w:rFonts w:hint="eastAsia" w:ascii="方正小标宋简体" w:hAnsi="方正小标宋简体" w:eastAsia="方正小标宋简体" w:cs="方正小标宋简体"/>
          <w:b/>
          <w:bCs/>
          <w:color w:val="auto"/>
          <w:sz w:val="36"/>
          <w:szCs w:val="36"/>
        </w:rPr>
      </w:pPr>
    </w:p>
    <w:p>
      <w:pPr>
        <w:rPr>
          <w:rFonts w:hint="eastAsia" w:ascii="宋体" w:hAnsi="宋体" w:eastAsia="宋体" w:cs="宋体"/>
          <w:color w:val="auto"/>
          <w:sz w:val="32"/>
          <w:szCs w:val="32"/>
        </w:rPr>
      </w:pPr>
      <w:r>
        <w:rPr>
          <w:rFonts w:hint="eastAsia" w:ascii="宋体" w:hAnsi="宋体" w:eastAsia="宋体" w:cs="宋体"/>
          <w:color w:val="auto"/>
          <w:sz w:val="32"/>
          <w:szCs w:val="32"/>
        </w:rPr>
        <w:t xml:space="preserve">    根据建设项目环境影响评价审批程序的有关规定，202</w:t>
      </w:r>
      <w:r>
        <w:rPr>
          <w:rFonts w:hint="eastAsia" w:ascii="宋体" w:hAnsi="宋体" w:eastAsia="宋体" w:cs="宋体"/>
          <w:color w:val="auto"/>
          <w:sz w:val="32"/>
          <w:szCs w:val="32"/>
          <w:lang w:val="en-US" w:eastAsia="zh-CN"/>
        </w:rPr>
        <w:t>4</w:t>
      </w:r>
      <w:r>
        <w:rPr>
          <w:rFonts w:hint="eastAsia" w:ascii="宋体" w:hAnsi="宋体" w:eastAsia="宋体" w:cs="宋体"/>
          <w:color w:val="auto"/>
          <w:sz w:val="32"/>
          <w:szCs w:val="32"/>
        </w:rPr>
        <w:t>年</w:t>
      </w:r>
      <w:r>
        <w:rPr>
          <w:rFonts w:hint="eastAsia" w:ascii="宋体" w:hAnsi="宋体" w:cs="宋体"/>
          <w:color w:val="auto"/>
          <w:sz w:val="32"/>
          <w:szCs w:val="32"/>
          <w:highlight w:val="none"/>
          <w:lang w:val="en-US" w:eastAsia="zh-CN"/>
        </w:rPr>
        <w:t>3</w:t>
      </w:r>
      <w:r>
        <w:rPr>
          <w:rFonts w:hint="eastAsia" w:ascii="宋体" w:hAnsi="宋体" w:eastAsia="宋体" w:cs="宋体"/>
          <w:color w:val="auto"/>
          <w:sz w:val="32"/>
          <w:szCs w:val="32"/>
          <w:highlight w:val="none"/>
        </w:rPr>
        <w:t>月</w:t>
      </w:r>
      <w:r>
        <w:rPr>
          <w:rFonts w:hint="eastAsia" w:ascii="宋体" w:hAnsi="宋体" w:cs="宋体"/>
          <w:color w:val="auto"/>
          <w:sz w:val="32"/>
          <w:szCs w:val="32"/>
          <w:highlight w:val="none"/>
          <w:lang w:val="en-US" w:eastAsia="zh-CN"/>
        </w:rPr>
        <w:t>14</w:t>
      </w:r>
      <w:r>
        <w:rPr>
          <w:rFonts w:hint="eastAsia" w:ascii="宋体" w:hAnsi="宋体" w:eastAsia="宋体" w:cs="宋体"/>
          <w:color w:val="auto"/>
          <w:sz w:val="32"/>
          <w:szCs w:val="32"/>
        </w:rPr>
        <w:t>日我局环评组受理绥化市永安灌区渠首枢纽泄洪闸除险加固工程</w:t>
      </w:r>
      <w:r>
        <w:rPr>
          <w:rFonts w:hint="eastAsia" w:ascii="宋体" w:hAnsi="宋体" w:cs="宋体"/>
          <w:color w:val="auto"/>
          <w:sz w:val="32"/>
          <w:szCs w:val="32"/>
          <w:lang w:val="en-US" w:eastAsia="zh-CN"/>
        </w:rPr>
        <w:t>建设项目</w:t>
      </w:r>
      <w:r>
        <w:rPr>
          <w:rFonts w:hint="eastAsia" w:ascii="宋体" w:hAnsi="宋体" w:eastAsia="宋体" w:cs="宋体"/>
          <w:color w:val="auto"/>
          <w:sz w:val="32"/>
          <w:szCs w:val="32"/>
        </w:rPr>
        <w:t>环境影响评价文件。现将受理情况予以公示，公示日期为202</w:t>
      </w:r>
      <w:r>
        <w:rPr>
          <w:rFonts w:hint="eastAsia" w:ascii="宋体" w:hAnsi="宋体" w:eastAsia="宋体" w:cs="宋体"/>
          <w:color w:val="auto"/>
          <w:sz w:val="32"/>
          <w:szCs w:val="32"/>
          <w:lang w:val="en-US" w:eastAsia="zh-CN"/>
        </w:rPr>
        <w:t>4</w:t>
      </w:r>
      <w:r>
        <w:rPr>
          <w:rFonts w:hint="eastAsia" w:ascii="宋体" w:hAnsi="宋体" w:eastAsia="宋体" w:cs="宋体"/>
          <w:color w:val="auto"/>
          <w:sz w:val="32"/>
          <w:szCs w:val="32"/>
        </w:rPr>
        <w:t>年</w:t>
      </w:r>
      <w:r>
        <w:rPr>
          <w:rFonts w:hint="eastAsia" w:ascii="宋体" w:hAnsi="宋体" w:cs="宋体"/>
          <w:color w:val="auto"/>
          <w:sz w:val="32"/>
          <w:szCs w:val="32"/>
          <w:lang w:val="en-US" w:eastAsia="zh-CN"/>
        </w:rPr>
        <w:t>3</w:t>
      </w:r>
      <w:r>
        <w:rPr>
          <w:rFonts w:hint="eastAsia" w:ascii="宋体" w:hAnsi="宋体" w:eastAsia="宋体" w:cs="宋体"/>
          <w:color w:val="auto"/>
          <w:sz w:val="32"/>
          <w:szCs w:val="32"/>
        </w:rPr>
        <w:t>月</w:t>
      </w:r>
      <w:r>
        <w:rPr>
          <w:rFonts w:hint="eastAsia" w:ascii="宋体" w:hAnsi="宋体" w:cs="宋体"/>
          <w:color w:val="auto"/>
          <w:sz w:val="32"/>
          <w:szCs w:val="32"/>
          <w:lang w:val="en-US" w:eastAsia="zh-CN"/>
        </w:rPr>
        <w:t>14</w:t>
      </w:r>
      <w:r>
        <w:rPr>
          <w:rFonts w:hint="eastAsia" w:ascii="宋体" w:hAnsi="宋体" w:eastAsia="宋体" w:cs="宋体"/>
          <w:color w:val="auto"/>
          <w:sz w:val="32"/>
          <w:szCs w:val="32"/>
        </w:rPr>
        <w:t>日—202</w:t>
      </w:r>
      <w:r>
        <w:rPr>
          <w:rFonts w:hint="eastAsia" w:ascii="宋体" w:hAnsi="宋体" w:eastAsia="宋体" w:cs="宋体"/>
          <w:color w:val="auto"/>
          <w:sz w:val="32"/>
          <w:szCs w:val="32"/>
          <w:lang w:val="en-US" w:eastAsia="zh-CN"/>
        </w:rPr>
        <w:t>4</w:t>
      </w:r>
      <w:r>
        <w:rPr>
          <w:rFonts w:hint="eastAsia" w:ascii="宋体" w:hAnsi="宋体" w:eastAsia="宋体" w:cs="宋体"/>
          <w:color w:val="auto"/>
          <w:sz w:val="32"/>
          <w:szCs w:val="32"/>
        </w:rPr>
        <w:t>年</w:t>
      </w:r>
      <w:r>
        <w:rPr>
          <w:rFonts w:hint="eastAsia" w:ascii="宋体" w:hAnsi="宋体" w:cs="宋体"/>
          <w:color w:val="auto"/>
          <w:sz w:val="32"/>
          <w:szCs w:val="32"/>
          <w:lang w:val="en-US" w:eastAsia="zh-CN"/>
        </w:rPr>
        <w:t>3</w:t>
      </w:r>
      <w:r>
        <w:rPr>
          <w:rFonts w:hint="eastAsia" w:ascii="宋体" w:hAnsi="宋体" w:eastAsia="宋体" w:cs="宋体"/>
          <w:color w:val="auto"/>
          <w:sz w:val="32"/>
          <w:szCs w:val="32"/>
        </w:rPr>
        <w:t>月</w:t>
      </w:r>
      <w:r>
        <w:rPr>
          <w:rFonts w:hint="eastAsia" w:ascii="宋体" w:hAnsi="宋体" w:eastAsia="宋体" w:cs="宋体"/>
          <w:color w:val="auto"/>
          <w:sz w:val="32"/>
          <w:szCs w:val="32"/>
          <w:lang w:val="en-US" w:eastAsia="zh-CN"/>
        </w:rPr>
        <w:t>2</w:t>
      </w:r>
      <w:r>
        <w:rPr>
          <w:rFonts w:hint="eastAsia" w:ascii="宋体" w:hAnsi="宋体" w:cs="宋体"/>
          <w:color w:val="auto"/>
          <w:sz w:val="32"/>
          <w:szCs w:val="32"/>
          <w:lang w:val="en-US" w:eastAsia="zh-CN"/>
        </w:rPr>
        <w:t>0</w:t>
      </w:r>
      <w:r>
        <w:rPr>
          <w:rFonts w:hint="eastAsia" w:ascii="宋体" w:hAnsi="宋体" w:eastAsia="宋体" w:cs="宋体"/>
          <w:color w:val="auto"/>
          <w:sz w:val="32"/>
          <w:szCs w:val="32"/>
        </w:rPr>
        <w:t>日（5个工作日）。</w:t>
      </w:r>
    </w:p>
    <w:p>
      <w:pPr>
        <w:ind w:firstLine="223"/>
        <w:jc w:val="left"/>
        <w:rPr>
          <w:rFonts w:hint="eastAsia" w:ascii="宋体" w:hAnsi="宋体" w:eastAsia="宋体" w:cs="宋体"/>
          <w:color w:val="auto"/>
          <w:sz w:val="32"/>
          <w:szCs w:val="32"/>
        </w:rPr>
      </w:pPr>
      <w:r>
        <w:rPr>
          <w:rFonts w:hint="eastAsia" w:ascii="宋体" w:hAnsi="宋体" w:eastAsia="宋体" w:cs="宋体"/>
          <w:color w:val="auto"/>
          <w:sz w:val="32"/>
          <w:szCs w:val="32"/>
        </w:rPr>
        <w:t xml:space="preserve">  联系电话：0455--8316406</w:t>
      </w:r>
    </w:p>
    <w:p>
      <w:pPr>
        <w:ind w:firstLine="223"/>
        <w:jc w:val="left"/>
        <w:rPr>
          <w:rFonts w:hint="eastAsia" w:ascii="宋体" w:hAnsi="宋体" w:eastAsia="宋体" w:cs="宋体"/>
          <w:color w:val="auto"/>
          <w:sz w:val="32"/>
          <w:szCs w:val="32"/>
        </w:rPr>
      </w:pPr>
      <w:r>
        <w:rPr>
          <w:rFonts w:hint="eastAsia" w:ascii="宋体" w:hAnsi="宋体" w:eastAsia="宋体" w:cs="宋体"/>
          <w:color w:val="auto"/>
          <w:sz w:val="32"/>
          <w:szCs w:val="32"/>
        </w:rPr>
        <w:t xml:space="preserve">  通讯地址：黑龙江省绥化市北林区政府院内北林生态环境局</w:t>
      </w:r>
    </w:p>
    <w:p>
      <w:pPr>
        <w:ind w:firstLine="223"/>
        <w:jc w:val="left"/>
        <w:rPr>
          <w:rFonts w:hint="eastAsia" w:ascii="宋体" w:hAnsi="宋体" w:eastAsia="宋体" w:cs="宋体"/>
          <w:color w:val="auto"/>
          <w:sz w:val="32"/>
          <w:szCs w:val="32"/>
        </w:rPr>
      </w:pPr>
      <w:r>
        <w:rPr>
          <w:rFonts w:hint="eastAsia" w:ascii="宋体" w:hAnsi="宋体" w:eastAsia="宋体" w:cs="宋体"/>
          <w:color w:val="auto"/>
          <w:sz w:val="32"/>
          <w:szCs w:val="32"/>
        </w:rPr>
        <w:t xml:space="preserve">  邮编：152000</w:t>
      </w:r>
    </w:p>
    <w:tbl>
      <w:tblPr>
        <w:tblStyle w:val="1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127"/>
        <w:gridCol w:w="1417"/>
        <w:gridCol w:w="1377"/>
        <w:gridCol w:w="2191"/>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675" w:type="dxa"/>
            <w:noWrap w:val="0"/>
            <w:vAlign w:val="center"/>
          </w:tcPr>
          <w:p>
            <w:pPr>
              <w:jc w:val="center"/>
              <w:rPr>
                <w:rFonts w:hint="eastAsia"/>
                <w:color w:val="auto"/>
                <w:sz w:val="32"/>
                <w:szCs w:val="32"/>
              </w:rPr>
            </w:pPr>
            <w:r>
              <w:rPr>
                <w:rFonts w:hint="eastAsia"/>
                <w:color w:val="auto"/>
                <w:sz w:val="32"/>
                <w:szCs w:val="32"/>
              </w:rPr>
              <w:t>序</w:t>
            </w:r>
          </w:p>
          <w:p>
            <w:pPr>
              <w:jc w:val="center"/>
              <w:rPr>
                <w:rFonts w:hint="eastAsia"/>
                <w:color w:val="auto"/>
                <w:sz w:val="32"/>
                <w:szCs w:val="32"/>
              </w:rPr>
            </w:pPr>
            <w:r>
              <w:rPr>
                <w:rFonts w:hint="eastAsia"/>
                <w:color w:val="auto"/>
                <w:sz w:val="32"/>
                <w:szCs w:val="32"/>
              </w:rPr>
              <w:t>号</w:t>
            </w:r>
          </w:p>
        </w:tc>
        <w:tc>
          <w:tcPr>
            <w:tcW w:w="2127" w:type="dxa"/>
            <w:noWrap w:val="0"/>
            <w:vAlign w:val="center"/>
          </w:tcPr>
          <w:p>
            <w:pPr>
              <w:jc w:val="center"/>
              <w:rPr>
                <w:rFonts w:hint="eastAsia"/>
                <w:color w:val="auto"/>
                <w:sz w:val="32"/>
                <w:szCs w:val="32"/>
              </w:rPr>
            </w:pPr>
            <w:r>
              <w:rPr>
                <w:rFonts w:hint="eastAsia"/>
                <w:color w:val="auto"/>
                <w:sz w:val="32"/>
                <w:szCs w:val="32"/>
              </w:rPr>
              <w:t>项目名称</w:t>
            </w:r>
          </w:p>
        </w:tc>
        <w:tc>
          <w:tcPr>
            <w:tcW w:w="1417" w:type="dxa"/>
            <w:noWrap w:val="0"/>
            <w:vAlign w:val="center"/>
          </w:tcPr>
          <w:p>
            <w:pPr>
              <w:jc w:val="center"/>
              <w:rPr>
                <w:rFonts w:hint="eastAsia"/>
                <w:color w:val="auto"/>
                <w:sz w:val="32"/>
                <w:szCs w:val="32"/>
              </w:rPr>
            </w:pPr>
            <w:r>
              <w:rPr>
                <w:rFonts w:hint="eastAsia"/>
                <w:color w:val="auto"/>
                <w:sz w:val="32"/>
                <w:szCs w:val="32"/>
              </w:rPr>
              <w:t>建设</w:t>
            </w:r>
          </w:p>
          <w:p>
            <w:pPr>
              <w:jc w:val="center"/>
              <w:rPr>
                <w:rFonts w:hint="eastAsia"/>
                <w:color w:val="auto"/>
                <w:sz w:val="32"/>
                <w:szCs w:val="32"/>
              </w:rPr>
            </w:pPr>
            <w:r>
              <w:rPr>
                <w:rFonts w:hint="eastAsia"/>
                <w:color w:val="auto"/>
                <w:sz w:val="32"/>
                <w:szCs w:val="32"/>
              </w:rPr>
              <w:t>地点</w:t>
            </w:r>
          </w:p>
        </w:tc>
        <w:tc>
          <w:tcPr>
            <w:tcW w:w="1377" w:type="dxa"/>
            <w:noWrap w:val="0"/>
            <w:vAlign w:val="center"/>
          </w:tcPr>
          <w:p>
            <w:pPr>
              <w:jc w:val="center"/>
              <w:rPr>
                <w:rFonts w:hint="eastAsia"/>
                <w:color w:val="auto"/>
                <w:sz w:val="32"/>
                <w:szCs w:val="32"/>
              </w:rPr>
            </w:pPr>
            <w:r>
              <w:rPr>
                <w:rFonts w:hint="eastAsia"/>
                <w:color w:val="auto"/>
                <w:sz w:val="32"/>
                <w:szCs w:val="32"/>
              </w:rPr>
              <w:t>建设</w:t>
            </w:r>
          </w:p>
          <w:p>
            <w:pPr>
              <w:jc w:val="center"/>
              <w:rPr>
                <w:rFonts w:hint="eastAsia"/>
                <w:color w:val="auto"/>
                <w:sz w:val="32"/>
                <w:szCs w:val="32"/>
              </w:rPr>
            </w:pPr>
            <w:r>
              <w:rPr>
                <w:rFonts w:hint="eastAsia"/>
                <w:color w:val="auto"/>
                <w:sz w:val="32"/>
                <w:szCs w:val="32"/>
              </w:rPr>
              <w:t>单位</w:t>
            </w:r>
          </w:p>
        </w:tc>
        <w:tc>
          <w:tcPr>
            <w:tcW w:w="2191" w:type="dxa"/>
            <w:noWrap w:val="0"/>
            <w:vAlign w:val="center"/>
          </w:tcPr>
          <w:p>
            <w:pPr>
              <w:widowControl/>
              <w:spacing w:line="330" w:lineRule="atLeast"/>
              <w:jc w:val="center"/>
              <w:rPr>
                <w:rFonts w:hint="eastAsia"/>
                <w:color w:val="auto"/>
                <w:sz w:val="32"/>
                <w:szCs w:val="32"/>
              </w:rPr>
            </w:pPr>
            <w:r>
              <w:rPr>
                <w:rFonts w:hint="eastAsia"/>
                <w:color w:val="auto"/>
                <w:sz w:val="32"/>
                <w:szCs w:val="32"/>
              </w:rPr>
              <w:t>环境影响</w:t>
            </w:r>
          </w:p>
          <w:p>
            <w:pPr>
              <w:widowControl/>
              <w:spacing w:line="330" w:lineRule="atLeast"/>
              <w:jc w:val="center"/>
              <w:rPr>
                <w:rFonts w:hint="eastAsia"/>
                <w:color w:val="auto"/>
                <w:sz w:val="32"/>
                <w:szCs w:val="32"/>
              </w:rPr>
            </w:pPr>
            <w:r>
              <w:rPr>
                <w:rFonts w:hint="eastAsia"/>
                <w:color w:val="auto"/>
                <w:sz w:val="32"/>
                <w:szCs w:val="32"/>
              </w:rPr>
              <w:t>评价机构</w:t>
            </w:r>
          </w:p>
        </w:tc>
        <w:tc>
          <w:tcPr>
            <w:tcW w:w="1535" w:type="dxa"/>
            <w:noWrap w:val="0"/>
            <w:vAlign w:val="center"/>
          </w:tcPr>
          <w:p>
            <w:pPr>
              <w:jc w:val="center"/>
              <w:rPr>
                <w:rFonts w:hint="eastAsia"/>
                <w:color w:val="auto"/>
                <w:sz w:val="32"/>
                <w:szCs w:val="32"/>
              </w:rPr>
            </w:pPr>
            <w:r>
              <w:rPr>
                <w:rFonts w:hint="eastAsia"/>
                <w:color w:val="auto"/>
                <w:sz w:val="32"/>
                <w:szCs w:val="32"/>
              </w:rPr>
              <w:t>受理日期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675" w:type="dxa"/>
            <w:noWrap w:val="0"/>
            <w:vAlign w:val="center"/>
          </w:tcPr>
          <w:p>
            <w:pPr>
              <w:jc w:val="center"/>
              <w:rPr>
                <w:rFonts w:hint="eastAsia"/>
                <w:color w:val="auto"/>
                <w:sz w:val="32"/>
                <w:szCs w:val="32"/>
              </w:rPr>
            </w:pPr>
            <w:r>
              <w:rPr>
                <w:rFonts w:hint="eastAsia" w:ascii="Times New Roman" w:hAnsi="Times New Roman" w:eastAsia="宋体" w:cs="Times New Roman"/>
                <w:color w:val="auto"/>
                <w:szCs w:val="21"/>
                <w:highlight w:val="none"/>
                <w:lang w:val="en-US" w:eastAsia="zh-CN"/>
              </w:rPr>
              <w:t>1</w:t>
            </w:r>
          </w:p>
        </w:tc>
        <w:tc>
          <w:tcPr>
            <w:tcW w:w="2127" w:type="dxa"/>
            <w:noWrap w:val="0"/>
            <w:vAlign w:val="center"/>
          </w:tcPr>
          <w:p>
            <w:pPr>
              <w:ind w:firstLine="120" w:firstLineChars="50"/>
              <w:rPr>
                <w:rFonts w:hint="eastAsia" w:ascii="Calibri" w:hAnsi="Calibri" w:eastAsia="宋体" w:cs="Times New Roman"/>
                <w:color w:val="auto"/>
                <w:sz w:val="24"/>
                <w:highlight w:val="none"/>
                <w:lang w:val="en-US" w:eastAsia="zh-CN"/>
              </w:rPr>
            </w:pPr>
            <w:r>
              <w:rPr>
                <w:rFonts w:hint="eastAsia" w:ascii="宋体" w:hAnsi="宋体" w:cs="宋体"/>
                <w:sz w:val="24"/>
              </w:rPr>
              <w:t>绥化市永安灌区渠首枢纽泄洪闸除险加固工程</w:t>
            </w:r>
          </w:p>
        </w:tc>
        <w:tc>
          <w:tcPr>
            <w:tcW w:w="1417" w:type="dxa"/>
            <w:noWrap w:val="0"/>
            <w:vAlign w:val="center"/>
          </w:tcPr>
          <w:p>
            <w:pPr>
              <w:ind w:firstLine="105" w:firstLineChars="50"/>
              <w:rPr>
                <w:rFonts w:hint="eastAsia" w:ascii="Calibri" w:hAnsi="Calibri" w:eastAsia="宋体" w:cs="Times New Roman"/>
                <w:color w:val="auto"/>
                <w:sz w:val="24"/>
                <w:highlight w:val="none"/>
                <w:lang w:val="en-US" w:eastAsia="zh-CN"/>
              </w:rPr>
            </w:pPr>
            <w:r>
              <w:rPr>
                <w:rFonts w:eastAsia="宋体"/>
                <w:color w:val="000000"/>
                <w:szCs w:val="21"/>
                <w:highlight w:val="none"/>
              </w:rPr>
              <w:t>黑龙江省</w:t>
            </w:r>
            <w:r>
              <w:rPr>
                <w:rFonts w:hint="eastAsia" w:eastAsia="宋体"/>
                <w:color w:val="000000"/>
                <w:szCs w:val="21"/>
                <w:highlight w:val="none"/>
                <w:lang w:val="en-US" w:eastAsia="zh-CN"/>
              </w:rPr>
              <w:t>绥化</w:t>
            </w:r>
            <w:r>
              <w:rPr>
                <w:rFonts w:eastAsia="宋体"/>
                <w:color w:val="000000"/>
                <w:szCs w:val="21"/>
                <w:highlight w:val="none"/>
              </w:rPr>
              <w:t>市</w:t>
            </w:r>
            <w:r>
              <w:rPr>
                <w:rFonts w:hint="eastAsia" w:eastAsia="宋体"/>
                <w:color w:val="000000"/>
                <w:szCs w:val="21"/>
                <w:highlight w:val="none"/>
                <w:lang w:val="en-US" w:eastAsia="zh-CN"/>
              </w:rPr>
              <w:t>北林区</w:t>
            </w:r>
          </w:p>
        </w:tc>
        <w:tc>
          <w:tcPr>
            <w:tcW w:w="1377" w:type="dxa"/>
            <w:noWrap w:val="0"/>
            <w:vAlign w:val="center"/>
          </w:tcPr>
          <w:p>
            <w:pPr>
              <w:ind w:firstLine="120" w:firstLineChars="50"/>
              <w:rPr>
                <w:rFonts w:hint="eastAsia" w:ascii="宋体" w:hAnsi="宋体" w:cs="宋体"/>
                <w:sz w:val="24"/>
                <w:lang w:val="en-US" w:eastAsia="zh-CN"/>
              </w:rPr>
            </w:pPr>
            <w:r>
              <w:rPr>
                <w:rFonts w:hint="eastAsia" w:ascii="宋体" w:hAnsi="宋体" w:cs="宋体"/>
                <w:sz w:val="24"/>
              </w:rPr>
              <w:t>绥化市水利水电勘测研究院</w:t>
            </w:r>
          </w:p>
        </w:tc>
        <w:tc>
          <w:tcPr>
            <w:tcW w:w="2191" w:type="dxa"/>
            <w:noWrap w:val="0"/>
            <w:vAlign w:val="center"/>
          </w:tcPr>
          <w:p>
            <w:pPr>
              <w:ind w:firstLine="105" w:firstLineChars="50"/>
              <w:rPr>
                <w:rFonts w:hint="default" w:ascii="宋体" w:hAnsi="宋体" w:cs="宋体"/>
                <w:sz w:val="24"/>
                <w:lang w:val="en-US" w:eastAsia="zh-CN"/>
              </w:rPr>
            </w:pPr>
            <w:r>
              <w:rPr>
                <w:rFonts w:hint="eastAsia" w:ascii="Times New Roman" w:hAnsi="Times New Roman" w:eastAsia="宋体" w:cs="Times New Roman"/>
                <w:color w:val="auto"/>
                <w:szCs w:val="21"/>
                <w:highlight w:val="none"/>
                <w:lang w:val="en-US" w:eastAsia="zh-CN"/>
              </w:rPr>
              <w:t>黑龙江省水利水电勘测设计研究院</w:t>
            </w:r>
          </w:p>
        </w:tc>
        <w:tc>
          <w:tcPr>
            <w:tcW w:w="1535" w:type="dxa"/>
            <w:noWrap w:val="0"/>
            <w:vAlign w:val="center"/>
          </w:tcPr>
          <w:p>
            <w:pPr>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cs="宋体"/>
                <w:color w:val="auto"/>
                <w:sz w:val="24"/>
                <w:szCs w:val="24"/>
                <w:highlight w:val="none"/>
                <w:lang w:val="en-US" w:eastAsia="zh-CN"/>
              </w:rPr>
              <w:t>14</w:t>
            </w:r>
          </w:p>
        </w:tc>
      </w:tr>
    </w:tbl>
    <w:p>
      <w:pPr>
        <w:spacing w:line="380" w:lineRule="exact"/>
        <w:jc w:val="center"/>
        <w:rPr>
          <w:rFonts w:hint="eastAsia"/>
          <w:color w:val="auto"/>
          <w:sz w:val="32"/>
          <w:szCs w:val="32"/>
        </w:rPr>
      </w:pPr>
      <w:r>
        <w:rPr>
          <w:rFonts w:hint="eastAsia"/>
          <w:color w:val="auto"/>
          <w:sz w:val="32"/>
          <w:szCs w:val="32"/>
        </w:rPr>
        <w:t xml:space="preserve">  </w:t>
      </w:r>
    </w:p>
    <w:p>
      <w:pPr>
        <w:ind w:firstLine="105" w:firstLineChars="50"/>
        <w:rPr>
          <w:rFonts w:hint="eastAsia" w:eastAsiaTheme="minorEastAsia"/>
          <w:szCs w:val="21"/>
          <w:lang w:eastAsia="zh-CN"/>
        </w:rPr>
      </w:pPr>
      <w:r>
        <w:rPr>
          <w:rFonts w:hint="eastAsia" w:ascii="Calibri" w:hAnsi="Calibri" w:eastAsia="宋体" w:cs="Times New Roman"/>
          <w:color w:val="auto"/>
        </w:rPr>
        <w:t>附：《</w:t>
      </w:r>
      <w:r>
        <w:rPr>
          <w:rFonts w:hint="eastAsia" w:ascii="宋体" w:hAnsi="宋体" w:cs="宋体"/>
          <w:sz w:val="24"/>
        </w:rPr>
        <w:t>绥化市永安灌区渠首枢纽泄洪闸除险加固工程</w:t>
      </w:r>
      <w:r>
        <w:rPr>
          <w:rFonts w:hint="eastAsia" w:ascii="宋体" w:hAnsi="宋体" w:cs="宋体"/>
          <w:sz w:val="24"/>
          <w:lang w:val="en-US" w:eastAsia="zh-CN"/>
        </w:rPr>
        <w:t>建设</w:t>
      </w:r>
      <w:r>
        <w:rPr>
          <w:rFonts w:hint="eastAsia" w:ascii="宋体" w:hAnsi="宋体" w:cs="宋体"/>
          <w:sz w:val="24"/>
        </w:rPr>
        <w:t>项目环境影响报告</w:t>
      </w:r>
      <w:bookmarkStart w:id="0" w:name="_Toc30501"/>
      <w:bookmarkStart w:id="1" w:name="_Hlk57883707"/>
      <w:r>
        <w:rPr>
          <w:rFonts w:hint="eastAsia" w:ascii="宋体" w:hAnsi="宋体" w:cs="宋体"/>
          <w:sz w:val="24"/>
          <w:lang w:val="en-US" w:eastAsia="zh-CN"/>
        </w:rPr>
        <w:t>表</w:t>
      </w:r>
      <w:r>
        <w:rPr>
          <w:rFonts w:hint="eastAsia" w:ascii="宋体" w:hAnsi="宋体" w:cs="宋体"/>
          <w:sz w:val="24"/>
          <w:lang w:eastAsia="zh-CN"/>
        </w:rPr>
        <w:t>》</w:t>
      </w:r>
      <w:bookmarkEnd w:id="0"/>
      <w:bookmarkEnd w:id="1"/>
    </w:p>
    <w:p>
      <w:pPr>
        <w:ind w:firstLine="105" w:firstLineChars="50"/>
        <w:rPr>
          <w:rFonts w:hint="eastAsia" w:eastAsiaTheme="minorEastAsia"/>
          <w:szCs w:val="21"/>
        </w:rPr>
      </w:pPr>
    </w:p>
    <w:p>
      <w:pPr>
        <w:jc w:val="left"/>
        <w:rPr>
          <w:rFonts w:hint="eastAsia"/>
          <w:sz w:val="32"/>
          <w:szCs w:val="32"/>
          <w:lang w:val="en-US" w:eastAsia="zh-CN"/>
        </w:rPr>
      </w:pPr>
      <w:bookmarkStart w:id="2" w:name="_Toc152227239"/>
    </w:p>
    <w:p>
      <w:pPr>
        <w:ind w:firstLine="640" w:firstLineChars="200"/>
        <w:jc w:val="left"/>
        <w:rPr>
          <w:rFonts w:hint="eastAsia"/>
          <w:sz w:val="32"/>
          <w:szCs w:val="32"/>
          <w:lang w:val="en-US" w:eastAsia="zh-CN"/>
        </w:rPr>
      </w:pPr>
      <w:r>
        <w:rPr>
          <w:rFonts w:hint="eastAsia"/>
          <w:sz w:val="32"/>
          <w:szCs w:val="32"/>
          <w:lang w:val="en-US" w:eastAsia="zh-CN"/>
        </w:rPr>
        <w:t>按照省厅《关于做好国债项目环评要素服务保障工作的通知》（</w:t>
      </w:r>
      <w:r>
        <w:rPr>
          <w:rFonts w:ascii="仿宋_GB2312" w:hAnsi="仿宋_GB2312" w:eastAsia="仿宋_GB2312" w:cs="仿宋_GB2312"/>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2024</w:t>
      </w:r>
      <w:r>
        <w:rPr>
          <w:rFonts w:ascii="仿宋_GB2312" w:hAnsi="仿宋_GB2312" w:eastAsia="仿宋_GB2312" w:cs="仿宋_GB2312"/>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 xml:space="preserve">119 </w:t>
      </w:r>
      <w:r>
        <w:rPr>
          <w:rFonts w:ascii="仿宋_GB2312" w:hAnsi="仿宋_GB2312" w:eastAsia="仿宋_GB2312" w:cs="仿宋_GB2312"/>
          <w:color w:val="000000"/>
          <w:kern w:val="0"/>
          <w:sz w:val="31"/>
          <w:szCs w:val="31"/>
          <w:lang w:val="en-US" w:eastAsia="zh-CN" w:bidi="ar"/>
        </w:rPr>
        <w:t>号</w:t>
      </w:r>
      <w:r>
        <w:rPr>
          <w:rFonts w:hint="eastAsia"/>
          <w:sz w:val="32"/>
          <w:szCs w:val="32"/>
          <w:lang w:val="en-US" w:eastAsia="zh-CN"/>
        </w:rPr>
        <w:t>）精神，为做好国债项目环评服务保障工作，在项目受理同时，进行审批意见的公示。</w:t>
      </w:r>
    </w:p>
    <w:p>
      <w:pPr>
        <w:ind w:firstLine="640" w:firstLineChars="200"/>
        <w:jc w:val="left"/>
        <w:rPr>
          <w:rFonts w:hint="eastAsia" w:ascii="宋体" w:hAnsi="宋体" w:cs="宋体"/>
          <w:sz w:val="32"/>
          <w:szCs w:val="32"/>
        </w:rPr>
      </w:pPr>
      <w:r>
        <w:rPr>
          <w:rFonts w:hint="eastAsia" w:ascii="宋体" w:hAnsi="宋体" w:cs="宋体"/>
          <w:sz w:val="32"/>
          <w:szCs w:val="32"/>
        </w:rPr>
        <w:t>根据建设项目审批程序的有关规定，经审查，202</w:t>
      </w:r>
      <w:r>
        <w:rPr>
          <w:rFonts w:hint="eastAsia" w:ascii="宋体" w:hAnsi="宋体" w:cs="宋体"/>
          <w:sz w:val="32"/>
          <w:szCs w:val="32"/>
          <w:lang w:val="en-US" w:eastAsia="zh-CN"/>
        </w:rPr>
        <w:t>4</w:t>
      </w:r>
      <w:r>
        <w:rPr>
          <w:rFonts w:hint="eastAsia" w:ascii="宋体" w:hAnsi="宋体" w:cs="宋体"/>
          <w:sz w:val="32"/>
          <w:szCs w:val="32"/>
        </w:rPr>
        <w:t>年</w:t>
      </w:r>
      <w:r>
        <w:rPr>
          <w:rFonts w:hint="eastAsia" w:ascii="宋体" w:hAnsi="宋体" w:cs="宋体"/>
          <w:sz w:val="32"/>
          <w:szCs w:val="32"/>
          <w:lang w:val="en-US" w:eastAsia="zh-CN"/>
        </w:rPr>
        <w:t>3</w:t>
      </w:r>
      <w:r>
        <w:rPr>
          <w:rFonts w:hint="eastAsia" w:ascii="宋体" w:hAnsi="宋体" w:cs="宋体"/>
          <w:sz w:val="32"/>
          <w:szCs w:val="32"/>
        </w:rPr>
        <w:t>月</w:t>
      </w:r>
      <w:r>
        <w:rPr>
          <w:rFonts w:hint="eastAsia" w:ascii="宋体" w:hAnsi="宋体" w:cs="宋体"/>
          <w:sz w:val="32"/>
          <w:szCs w:val="32"/>
          <w:lang w:val="en-US" w:eastAsia="zh-CN"/>
        </w:rPr>
        <w:t>15</w:t>
      </w:r>
      <w:r>
        <w:rPr>
          <w:rFonts w:hint="eastAsia" w:ascii="宋体" w:hAnsi="宋体" w:cs="宋体"/>
          <w:sz w:val="32"/>
          <w:szCs w:val="32"/>
        </w:rPr>
        <w:t>日我局</w:t>
      </w:r>
      <w:r>
        <w:rPr>
          <w:rFonts w:hint="eastAsia" w:ascii="宋体" w:hAnsi="宋体" w:eastAsia="宋体" w:cs="宋体"/>
          <w:sz w:val="32"/>
          <w:szCs w:val="32"/>
        </w:rPr>
        <w:t>审批拟对</w:t>
      </w:r>
      <w:r>
        <w:rPr>
          <w:rFonts w:hint="eastAsia" w:ascii="宋体" w:hAnsi="宋体" w:eastAsia="宋体" w:cs="宋体"/>
          <w:color w:val="auto"/>
          <w:sz w:val="32"/>
          <w:szCs w:val="32"/>
        </w:rPr>
        <w:t>绥化市永安灌区渠首枢纽泄洪闸除险加固工程</w:t>
      </w:r>
      <w:r>
        <w:rPr>
          <w:rFonts w:hint="eastAsia" w:ascii="宋体" w:hAnsi="宋体" w:cs="宋体"/>
          <w:color w:val="auto"/>
          <w:sz w:val="32"/>
          <w:szCs w:val="32"/>
          <w:lang w:val="en-US" w:eastAsia="zh-CN"/>
        </w:rPr>
        <w:t>建设项目</w:t>
      </w:r>
      <w:r>
        <w:rPr>
          <w:rFonts w:hint="eastAsia" w:ascii="宋体" w:hAnsi="宋体" w:eastAsia="宋体" w:cs="宋体"/>
          <w:sz w:val="32"/>
          <w:szCs w:val="32"/>
        </w:rPr>
        <w:t>作出</w:t>
      </w:r>
      <w:r>
        <w:rPr>
          <w:rFonts w:hint="eastAsia" w:ascii="宋体" w:hAnsi="宋体" w:cs="宋体"/>
          <w:sz w:val="32"/>
          <w:szCs w:val="32"/>
        </w:rPr>
        <w:t>环境影响评价文件审批意见。为保护此次审查工作的严肃性和公正性，现将拟作出的环境影响评价文件审批意见基本情况予以公示，公示期为202</w:t>
      </w:r>
      <w:r>
        <w:rPr>
          <w:rFonts w:hint="eastAsia" w:ascii="宋体" w:hAnsi="宋体" w:cs="宋体"/>
          <w:sz w:val="32"/>
          <w:szCs w:val="32"/>
          <w:lang w:val="en-US" w:eastAsia="zh-CN"/>
        </w:rPr>
        <w:t>4</w:t>
      </w:r>
      <w:r>
        <w:rPr>
          <w:rFonts w:hint="eastAsia" w:ascii="宋体" w:hAnsi="宋体" w:cs="宋体"/>
          <w:sz w:val="32"/>
          <w:szCs w:val="32"/>
        </w:rPr>
        <w:t>年</w:t>
      </w:r>
      <w:r>
        <w:rPr>
          <w:rFonts w:hint="eastAsia" w:ascii="宋体" w:hAnsi="宋体" w:cs="宋体"/>
          <w:sz w:val="32"/>
          <w:szCs w:val="32"/>
          <w:lang w:val="en-US" w:eastAsia="zh-CN"/>
        </w:rPr>
        <w:t>3</w:t>
      </w:r>
      <w:r>
        <w:rPr>
          <w:rFonts w:hint="eastAsia" w:ascii="宋体" w:hAnsi="宋体" w:cs="宋体"/>
          <w:sz w:val="32"/>
          <w:szCs w:val="32"/>
        </w:rPr>
        <w:t>月</w:t>
      </w:r>
      <w:r>
        <w:rPr>
          <w:rFonts w:hint="eastAsia" w:ascii="宋体" w:hAnsi="宋体" w:cs="宋体"/>
          <w:sz w:val="32"/>
          <w:szCs w:val="32"/>
          <w:lang w:val="en-US" w:eastAsia="zh-CN"/>
        </w:rPr>
        <w:t>14</w:t>
      </w:r>
      <w:r>
        <w:rPr>
          <w:rFonts w:hint="eastAsia" w:ascii="宋体" w:hAnsi="宋体" w:cs="宋体"/>
          <w:sz w:val="32"/>
          <w:szCs w:val="32"/>
        </w:rPr>
        <w:t>日--20</w:t>
      </w:r>
      <w:r>
        <w:rPr>
          <w:rFonts w:hint="eastAsia" w:ascii="宋体" w:hAnsi="宋体" w:cs="宋体"/>
          <w:sz w:val="32"/>
          <w:szCs w:val="32"/>
          <w:lang w:val="en-US" w:eastAsia="zh-CN"/>
        </w:rPr>
        <w:t>24</w:t>
      </w:r>
      <w:r>
        <w:rPr>
          <w:rFonts w:hint="eastAsia" w:ascii="宋体" w:hAnsi="宋体" w:cs="宋体"/>
          <w:sz w:val="32"/>
          <w:szCs w:val="32"/>
        </w:rPr>
        <w:t>年</w:t>
      </w:r>
      <w:r>
        <w:rPr>
          <w:rFonts w:hint="eastAsia" w:ascii="宋体" w:hAnsi="宋体" w:cs="宋体"/>
          <w:sz w:val="32"/>
          <w:szCs w:val="32"/>
          <w:lang w:val="en-US" w:eastAsia="zh-CN"/>
        </w:rPr>
        <w:t>3</w:t>
      </w:r>
      <w:r>
        <w:rPr>
          <w:rFonts w:hint="eastAsia" w:ascii="宋体" w:hAnsi="宋体" w:cs="宋体"/>
          <w:sz w:val="32"/>
          <w:szCs w:val="32"/>
        </w:rPr>
        <w:t>月</w:t>
      </w:r>
      <w:r>
        <w:rPr>
          <w:rFonts w:hint="eastAsia" w:ascii="宋体" w:hAnsi="宋体" w:cs="宋体"/>
          <w:sz w:val="32"/>
          <w:szCs w:val="32"/>
          <w:lang w:val="en-US" w:eastAsia="zh-CN"/>
        </w:rPr>
        <w:t>20</w:t>
      </w:r>
      <w:r>
        <w:rPr>
          <w:rFonts w:hint="eastAsia" w:ascii="宋体" w:hAnsi="宋体" w:cs="宋体"/>
          <w:sz w:val="32"/>
          <w:szCs w:val="32"/>
        </w:rPr>
        <w:t>日（5个工作日）。</w:t>
      </w:r>
    </w:p>
    <w:p>
      <w:pPr>
        <w:tabs>
          <w:tab w:val="left" w:pos="988"/>
        </w:tabs>
        <w:spacing w:line="600" w:lineRule="exact"/>
        <w:jc w:val="left"/>
        <w:rPr>
          <w:rFonts w:hint="eastAsia" w:ascii="宋体" w:hAnsi="宋体" w:cs="宋体"/>
          <w:sz w:val="32"/>
          <w:szCs w:val="32"/>
        </w:rPr>
      </w:pPr>
      <w:r>
        <w:rPr>
          <w:rFonts w:hint="eastAsia" w:ascii="宋体" w:hAnsi="宋体" w:cs="宋体"/>
          <w:sz w:val="32"/>
          <w:szCs w:val="32"/>
        </w:rPr>
        <w:t xml:space="preserve">   </w:t>
      </w:r>
      <w:r>
        <w:rPr>
          <w:rFonts w:hint="eastAsia" w:ascii="宋体" w:hAnsi="宋体" w:cs="宋体"/>
          <w:sz w:val="32"/>
          <w:szCs w:val="32"/>
          <w:lang w:val="en-US" w:eastAsia="zh-CN"/>
        </w:rPr>
        <w:t xml:space="preserve"> </w:t>
      </w:r>
      <w:r>
        <w:rPr>
          <w:rFonts w:hint="eastAsia" w:ascii="宋体" w:hAnsi="宋体" w:cs="宋体"/>
          <w:sz w:val="32"/>
          <w:szCs w:val="32"/>
        </w:rPr>
        <w:t xml:space="preserve"> 听证</w:t>
      </w:r>
      <w:r>
        <w:rPr>
          <w:rFonts w:hint="eastAsia" w:ascii="宋体" w:hAnsi="宋体" w:cs="宋体"/>
          <w:sz w:val="32"/>
          <w:szCs w:val="32"/>
          <w:lang w:eastAsia="zh-CN"/>
        </w:rPr>
        <w:t>权力</w:t>
      </w:r>
      <w:r>
        <w:rPr>
          <w:rFonts w:hint="eastAsia" w:ascii="宋体" w:hAnsi="宋体" w:cs="宋体"/>
          <w:sz w:val="32"/>
          <w:szCs w:val="32"/>
        </w:rPr>
        <w:t>告知：依据《中华人民共和国行政许可法》，自公示起五日内申请人、利害关系人可对以下拟作出的建设项目环境影响评价文件审批意见要求听证。</w:t>
      </w:r>
    </w:p>
    <w:p>
      <w:pPr>
        <w:spacing w:line="600" w:lineRule="exact"/>
        <w:ind w:firstLine="223"/>
        <w:jc w:val="left"/>
        <w:rPr>
          <w:rFonts w:hint="eastAsia" w:ascii="宋体" w:hAnsi="宋体" w:cs="宋体"/>
          <w:sz w:val="32"/>
          <w:szCs w:val="32"/>
        </w:rPr>
      </w:pPr>
      <w:r>
        <w:rPr>
          <w:rFonts w:hint="eastAsia" w:ascii="宋体" w:hAnsi="宋体" w:cs="宋体"/>
          <w:sz w:val="32"/>
          <w:szCs w:val="32"/>
        </w:rPr>
        <w:tab/>
      </w:r>
      <w:r>
        <w:rPr>
          <w:rFonts w:hint="eastAsia" w:ascii="宋体" w:hAnsi="宋体" w:cs="宋体"/>
          <w:sz w:val="32"/>
          <w:szCs w:val="32"/>
        </w:rPr>
        <w:t xml:space="preserve"> 联系电话：0455--8316406 </w:t>
      </w:r>
      <w:r>
        <w:rPr>
          <w:rFonts w:hint="eastAsia" w:ascii="宋体" w:hAnsi="宋体" w:cs="宋体"/>
          <w:sz w:val="32"/>
          <w:szCs w:val="32"/>
          <w:lang w:val="en-US" w:eastAsia="zh-CN"/>
        </w:rPr>
        <w:t xml:space="preserve">  </w:t>
      </w:r>
      <w:r>
        <w:rPr>
          <w:rFonts w:hint="eastAsia" w:ascii="宋体" w:hAnsi="宋体" w:cs="宋体"/>
          <w:sz w:val="32"/>
          <w:szCs w:val="32"/>
        </w:rPr>
        <w:t xml:space="preserve">   8316405</w:t>
      </w:r>
    </w:p>
    <w:p>
      <w:pPr>
        <w:adjustRightInd w:val="0"/>
        <w:snapToGrid w:val="0"/>
        <w:jc w:val="center"/>
        <w:outlineLvl w:val="0"/>
        <w:rPr>
          <w:bCs/>
          <w:sz w:val="72"/>
          <w:szCs w:val="72"/>
        </w:rPr>
      </w:pPr>
      <w:r>
        <w:rPr>
          <w:rFonts w:hint="eastAsia" w:ascii="宋体" w:hAnsi="宋体" w:cs="宋体"/>
          <w:sz w:val="32"/>
          <w:szCs w:val="32"/>
        </w:rPr>
        <w:t xml:space="preserve">  通讯地址：绥化市北林区政府院内北林生态环境局 </w:t>
      </w:r>
    </w:p>
    <w:p>
      <w:pPr>
        <w:adjustRightInd w:val="0"/>
        <w:snapToGrid w:val="0"/>
        <w:jc w:val="center"/>
        <w:outlineLvl w:val="0"/>
        <w:rPr>
          <w:bCs/>
          <w:sz w:val="72"/>
          <w:szCs w:val="72"/>
        </w:rPr>
      </w:pPr>
    </w:p>
    <w:bookmarkEnd w:id="2"/>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bookmarkStart w:id="3" w:name="_Toc77598635"/>
      <w:bookmarkStart w:id="4" w:name="_Toc138834962"/>
    </w:p>
    <w:p>
      <w:pPr>
        <w:adjustRightInd w:val="0"/>
        <w:snapToGrid w:val="0"/>
        <w:jc w:val="center"/>
        <w:outlineLvl w:val="0"/>
        <w:rPr>
          <w:rFonts w:hint="eastAsia" w:ascii="方正小标宋_GBK" w:eastAsia="方正小标宋_GBK"/>
          <w:bCs/>
          <w:sz w:val="72"/>
          <w:szCs w:val="72"/>
        </w:rPr>
      </w:pPr>
    </w:p>
    <w:p>
      <w:pPr>
        <w:adjustRightInd w:val="0"/>
        <w:snapToGrid w:val="0"/>
        <w:jc w:val="center"/>
        <w:outlineLvl w:val="0"/>
        <w:rPr>
          <w:rFonts w:hint="eastAsia" w:ascii="方正小标宋_GBK" w:eastAsia="方正小标宋_GBK"/>
          <w:bCs/>
          <w:sz w:val="72"/>
          <w:szCs w:val="72"/>
        </w:rPr>
      </w:pPr>
    </w:p>
    <w:p>
      <w:pPr>
        <w:adjustRightInd w:val="0"/>
        <w:snapToGrid w:val="0"/>
        <w:jc w:val="center"/>
        <w:outlineLvl w:val="0"/>
        <w:rPr>
          <w:rFonts w:hint="eastAsia" w:ascii="方正小标宋_GBK" w:eastAsia="方正小标宋_GBK"/>
          <w:bCs/>
          <w:sz w:val="72"/>
          <w:szCs w:val="72"/>
        </w:rPr>
      </w:pPr>
    </w:p>
    <w:p>
      <w:pPr>
        <w:adjustRightInd w:val="0"/>
        <w:snapToGrid w:val="0"/>
        <w:jc w:val="center"/>
        <w:outlineLvl w:val="0"/>
        <w:rPr>
          <w:rFonts w:hint="eastAsia" w:ascii="方正小标宋_GBK" w:eastAsia="方正小标宋_GBK"/>
          <w:bCs/>
          <w:sz w:val="72"/>
          <w:szCs w:val="72"/>
        </w:rPr>
      </w:pPr>
    </w:p>
    <w:p>
      <w:pPr>
        <w:adjustRightInd w:val="0"/>
        <w:snapToGrid w:val="0"/>
        <w:jc w:val="center"/>
        <w:outlineLvl w:val="0"/>
        <w:rPr>
          <w:rFonts w:hint="eastAsia" w:ascii="方正小标宋_GBK" w:eastAsia="方正小标宋_GBK"/>
          <w:bCs/>
          <w:sz w:val="72"/>
          <w:szCs w:val="72"/>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（生态影响类）</w:t>
      </w:r>
    </w:p>
    <w:p>
      <w:pPr>
        <w:jc w:val="center"/>
        <w:rPr>
          <w:rFonts w:eastAsia="仿宋"/>
          <w:sz w:val="52"/>
          <w:szCs w:val="52"/>
        </w:rPr>
      </w:pPr>
      <w:bookmarkStart w:id="5" w:name="_Hlk57883728"/>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bookmarkEnd w:id="5"/>
    <w:p>
      <w:pPr>
        <w:adjustRightInd w:val="0"/>
        <w:snapToGrid w:val="0"/>
        <w:spacing w:line="288" w:lineRule="auto"/>
        <w:ind w:left="2637" w:leftChars="494" w:hanging="1600" w:hangingChars="500"/>
        <w:rPr>
          <w:rFonts w:hint="eastAsia" w:ascii="仿宋_GB2312" w:eastAsia="仿宋_GB2312"/>
          <w:sz w:val="32"/>
          <w:szCs w:val="32"/>
          <w:u w:val="single"/>
        </w:rPr>
      </w:pPr>
      <w:r>
        <w:rPr>
          <w:rFonts w:hint="eastAsia" w:ascii="仿宋_GB2312" w:eastAsia="仿宋_GB2312"/>
          <w:sz w:val="32"/>
          <w:szCs w:val="32"/>
        </w:rPr>
        <w:t>项目名称：</w:t>
      </w:r>
      <w:r>
        <w:rPr>
          <w:rFonts w:hint="eastAsia" w:ascii="仿宋_GB2312" w:eastAsia="仿宋_GB2312"/>
          <w:sz w:val="30"/>
          <w:szCs w:val="30"/>
          <w:u w:val="single"/>
        </w:rPr>
        <w:t xml:space="preserve">绥化市永安灌区渠首枢纽泄洪闸除险加固工程 </w:t>
      </w:r>
    </w:p>
    <w:p>
      <w:pPr>
        <w:adjustRightInd w:val="0"/>
        <w:snapToGrid w:val="0"/>
        <w:spacing w:line="288" w:lineRule="auto"/>
        <w:ind w:left="4077" w:leftChars="494" w:hanging="3040" w:hangingChars="950"/>
        <w:rPr>
          <w:rFonts w:ascii="仿宋_GB2312" w:eastAsia="仿宋_GB2312"/>
          <w:sz w:val="32"/>
          <w:szCs w:val="32"/>
          <w:u w:val="single"/>
        </w:rPr>
      </w:pPr>
      <w:r>
        <w:rPr>
          <w:rFonts w:hint="eastAsia" w:ascii="仿宋_GB2312" w:eastAsia="仿宋_GB2312"/>
          <w:sz w:val="32"/>
          <w:szCs w:val="32"/>
        </w:rPr>
        <w:t>建设单位（盖章）：</w:t>
      </w:r>
      <w:r>
        <w:rPr>
          <w:rFonts w:hint="eastAsia" w:ascii="仿宋_GB2312" w:eastAsia="仿宋_GB2312"/>
          <w:sz w:val="30"/>
          <w:szCs w:val="30"/>
          <w:u w:val="single"/>
        </w:rPr>
        <w:t xml:space="preserve"> 绥化市水利水电勘测研究院       </w:t>
      </w:r>
      <w:r>
        <w:rPr>
          <w:rFonts w:hint="eastAsia" w:ascii="仿宋_GB2312" w:eastAsia="仿宋_GB2312"/>
          <w:sz w:val="32"/>
          <w:szCs w:val="32"/>
          <w:u w:val="single"/>
        </w:rPr>
        <w:t xml:space="preserve"> </w:t>
      </w:r>
    </w:p>
    <w:p>
      <w:pPr>
        <w:adjustRightInd w:val="0"/>
        <w:snapToGrid w:val="0"/>
        <w:spacing w:line="288" w:lineRule="auto"/>
        <w:ind w:firstLine="1040"/>
        <w:rPr>
          <w:rFonts w:hint="eastAsia" w:ascii="仿宋_GB2312" w:eastAsia="仿宋_GB2312"/>
          <w:sz w:val="32"/>
          <w:szCs w:val="32"/>
          <w:u w:val="single"/>
        </w:rPr>
      </w:pPr>
      <w:r>
        <w:rPr>
          <w:rFonts w:hint="eastAsia" w:ascii="仿宋_GB2312" w:eastAsia="仿宋_GB2312"/>
          <w:sz w:val="32"/>
          <w:szCs w:val="32"/>
        </w:rPr>
        <w:t>编制日期：</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hint="eastAsia" w:ascii="仿宋_GB2312" w:eastAsia="仿宋_GB2312"/>
          <w:sz w:val="30"/>
          <w:szCs w:val="30"/>
          <w:u w:val="single"/>
        </w:rPr>
        <w:t xml:space="preserve"> 二〇二四年</w:t>
      </w:r>
      <w:r>
        <w:rPr>
          <w:rFonts w:hint="eastAsia" w:ascii="Calibri" w:hAnsi="Calibri" w:eastAsia="仿宋_GB2312"/>
          <w:sz w:val="30"/>
          <w:szCs w:val="30"/>
          <w:u w:val="single"/>
        </w:rPr>
        <w:t>三</w:t>
      </w:r>
      <w:r>
        <w:rPr>
          <w:rFonts w:hint="eastAsia" w:ascii="仿宋_GB2312" w:eastAsia="仿宋_GB2312"/>
          <w:sz w:val="30"/>
          <w:szCs w:val="30"/>
          <w:u w:val="single"/>
        </w:rPr>
        <w:t>月</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p>
    <w:p>
      <w:pPr>
        <w:adjustRightInd w:val="0"/>
        <w:snapToGrid w:val="0"/>
        <w:spacing w:line="288" w:lineRule="auto"/>
        <w:ind w:firstLine="1040"/>
        <w:rPr>
          <w:rFonts w:ascii="仿宋_GB2312" w:eastAsia="仿宋_GB2312"/>
          <w:sz w:val="36"/>
          <w:szCs w:val="36"/>
          <w:u w:val="single"/>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hint="eastAsia" w:ascii="仿宋_GB2312" w:eastAsia="仿宋_GB2312"/>
          <w:sz w:val="36"/>
          <w:szCs w:val="36"/>
        </w:rPr>
      </w:pPr>
    </w:p>
    <w:p>
      <w:pPr>
        <w:widowControl/>
        <w:jc w:val="left"/>
        <w:rPr>
          <w:rFonts w:hint="eastAsia"/>
        </w:rPr>
      </w:pPr>
    </w:p>
    <w:p>
      <w:pPr>
        <w:widowControl/>
        <w:jc w:val="left"/>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pPr>
        <w:spacing w:line="360" w:lineRule="auto"/>
        <w:jc w:val="center"/>
        <w:rPr>
          <w:sz w:val="28"/>
          <w:szCs w:val="28"/>
        </w:rPr>
      </w:pPr>
      <w:r>
        <w:rPr>
          <w:sz w:val="28"/>
          <w:szCs w:val="28"/>
        </w:rPr>
        <w:t>目  录</w:t>
      </w:r>
    </w:p>
    <w:p>
      <w:pPr>
        <w:spacing w:line="360" w:lineRule="auto"/>
        <w:jc w:val="center"/>
        <w:rPr>
          <w:rFonts w:hint="eastAsia"/>
          <w:sz w:val="28"/>
          <w:szCs w:val="28"/>
        </w:rPr>
      </w:pPr>
    </w:p>
    <w:p>
      <w:pPr>
        <w:widowControl/>
        <w:jc w:val="left"/>
        <w:rPr>
          <w:rFonts w:hint="eastAsia"/>
        </w:rPr>
      </w:pPr>
    </w:p>
    <w:p>
      <w:pPr>
        <w:pStyle w:val="10"/>
        <w:tabs>
          <w:tab w:val="right" w:leader="dot" w:pos="8834"/>
          <w:tab w:val="clear" w:pos="8364"/>
        </w:tabs>
        <w:spacing w:line="360" w:lineRule="auto"/>
        <w:rPr>
          <w:rStyle w:val="18"/>
          <w:snapToGrid w:val="0"/>
          <w:color w:val="auto"/>
          <w:sz w:val="28"/>
          <w:szCs w:val="28"/>
        </w:rPr>
      </w:pPr>
      <w:r>
        <w:rPr>
          <w:rStyle w:val="18"/>
          <w:snapToGrid w:val="0"/>
          <w:color w:val="auto"/>
        </w:rPr>
        <w:fldChar w:fldCharType="begin"/>
      </w:r>
      <w:r>
        <w:rPr>
          <w:rStyle w:val="18"/>
          <w:snapToGrid w:val="0"/>
          <w:color w:val="auto"/>
        </w:rPr>
        <w:instrText xml:space="preserve">TOC \o "1-1" \h \u </w:instrText>
      </w:r>
      <w:r>
        <w:rPr>
          <w:rStyle w:val="18"/>
          <w:snapToGrid w:val="0"/>
          <w:color w:val="auto"/>
        </w:rPr>
        <w:fldChar w:fldCharType="separate"/>
      </w:r>
      <w:r>
        <w:rPr>
          <w:rStyle w:val="18"/>
          <w:snapToGrid w:val="0"/>
          <w:color w:val="auto"/>
          <w:sz w:val="28"/>
          <w:szCs w:val="28"/>
        </w:rPr>
        <w:fldChar w:fldCharType="begin"/>
      </w:r>
      <w:r>
        <w:rPr>
          <w:rStyle w:val="18"/>
          <w:snapToGrid w:val="0"/>
          <w:color w:val="auto"/>
          <w:sz w:val="28"/>
          <w:szCs w:val="28"/>
        </w:rPr>
        <w:instrText xml:space="preserve"> HYPERLINK \l "_Toc138834963" </w:instrText>
      </w:r>
      <w:r>
        <w:rPr>
          <w:rStyle w:val="18"/>
          <w:snapToGrid w:val="0"/>
          <w:color w:val="auto"/>
          <w:sz w:val="28"/>
          <w:szCs w:val="28"/>
        </w:rPr>
        <w:fldChar w:fldCharType="separate"/>
      </w:r>
      <w:r>
        <w:rPr>
          <w:rStyle w:val="18"/>
          <w:rFonts w:hint="eastAsia"/>
          <w:snapToGrid w:val="0"/>
          <w:color w:val="auto"/>
          <w:sz w:val="28"/>
          <w:szCs w:val="28"/>
        </w:rPr>
        <w:t>一、建设项目基本情况</w:t>
      </w:r>
      <w:r>
        <w:rPr>
          <w:rStyle w:val="18"/>
          <w:snapToGrid w:val="0"/>
          <w:color w:val="auto"/>
          <w:sz w:val="28"/>
          <w:szCs w:val="28"/>
        </w:rPr>
        <w:tab/>
      </w:r>
      <w:r>
        <w:rPr>
          <w:rStyle w:val="18"/>
          <w:snapToGrid w:val="0"/>
          <w:color w:val="auto"/>
          <w:sz w:val="28"/>
          <w:szCs w:val="28"/>
        </w:rPr>
        <w:fldChar w:fldCharType="begin"/>
      </w:r>
      <w:r>
        <w:rPr>
          <w:rStyle w:val="18"/>
          <w:snapToGrid w:val="0"/>
          <w:color w:val="auto"/>
          <w:sz w:val="28"/>
          <w:szCs w:val="28"/>
        </w:rPr>
        <w:instrText xml:space="preserve"> PAGEREF _Toc138834963 \h </w:instrText>
      </w:r>
      <w:r>
        <w:rPr>
          <w:rStyle w:val="18"/>
          <w:snapToGrid w:val="0"/>
          <w:color w:val="auto"/>
          <w:sz w:val="28"/>
          <w:szCs w:val="28"/>
        </w:rPr>
        <w:fldChar w:fldCharType="separate"/>
      </w:r>
      <w:r>
        <w:rPr>
          <w:rStyle w:val="18"/>
          <w:snapToGrid w:val="0"/>
          <w:color w:val="auto"/>
          <w:sz w:val="28"/>
          <w:szCs w:val="28"/>
        </w:rPr>
        <w:t>1</w:t>
      </w:r>
      <w:r>
        <w:rPr>
          <w:rStyle w:val="18"/>
          <w:snapToGrid w:val="0"/>
          <w:color w:val="auto"/>
          <w:sz w:val="28"/>
          <w:szCs w:val="28"/>
        </w:rPr>
        <w:fldChar w:fldCharType="end"/>
      </w:r>
      <w:r>
        <w:rPr>
          <w:rStyle w:val="18"/>
          <w:snapToGrid w:val="0"/>
          <w:color w:val="auto"/>
          <w:sz w:val="28"/>
          <w:szCs w:val="28"/>
        </w:rPr>
        <w:fldChar w:fldCharType="end"/>
      </w:r>
    </w:p>
    <w:p>
      <w:pPr>
        <w:pStyle w:val="10"/>
        <w:tabs>
          <w:tab w:val="right" w:leader="dot" w:pos="8834"/>
          <w:tab w:val="clear" w:pos="8364"/>
        </w:tabs>
        <w:spacing w:line="360" w:lineRule="auto"/>
        <w:rPr>
          <w:rStyle w:val="18"/>
          <w:snapToGrid w:val="0"/>
          <w:color w:val="auto"/>
          <w:sz w:val="28"/>
          <w:szCs w:val="28"/>
        </w:rPr>
      </w:pPr>
      <w:r>
        <w:rPr>
          <w:rStyle w:val="18"/>
          <w:snapToGrid w:val="0"/>
          <w:color w:val="auto"/>
          <w:sz w:val="28"/>
          <w:szCs w:val="28"/>
        </w:rPr>
        <w:fldChar w:fldCharType="begin"/>
      </w:r>
      <w:r>
        <w:rPr>
          <w:rStyle w:val="18"/>
          <w:snapToGrid w:val="0"/>
          <w:color w:val="auto"/>
          <w:sz w:val="28"/>
          <w:szCs w:val="28"/>
        </w:rPr>
        <w:instrText xml:space="preserve"> HYPERLINK \l "_Toc138834964" </w:instrText>
      </w:r>
      <w:r>
        <w:rPr>
          <w:rStyle w:val="18"/>
          <w:snapToGrid w:val="0"/>
          <w:color w:val="auto"/>
          <w:sz w:val="28"/>
          <w:szCs w:val="28"/>
        </w:rPr>
        <w:fldChar w:fldCharType="separate"/>
      </w:r>
      <w:r>
        <w:rPr>
          <w:rStyle w:val="18"/>
          <w:rFonts w:hint="eastAsia"/>
          <w:snapToGrid w:val="0"/>
          <w:color w:val="auto"/>
          <w:sz w:val="28"/>
          <w:szCs w:val="28"/>
        </w:rPr>
        <w:t>二、建设内容</w:t>
      </w:r>
      <w:r>
        <w:rPr>
          <w:rStyle w:val="18"/>
          <w:snapToGrid w:val="0"/>
          <w:color w:val="auto"/>
          <w:sz w:val="28"/>
          <w:szCs w:val="28"/>
        </w:rPr>
        <w:tab/>
      </w:r>
      <w:r>
        <w:rPr>
          <w:rStyle w:val="18"/>
          <w:snapToGrid w:val="0"/>
          <w:color w:val="auto"/>
          <w:sz w:val="28"/>
          <w:szCs w:val="28"/>
        </w:rPr>
        <w:fldChar w:fldCharType="begin"/>
      </w:r>
      <w:r>
        <w:rPr>
          <w:rStyle w:val="18"/>
          <w:snapToGrid w:val="0"/>
          <w:color w:val="auto"/>
          <w:sz w:val="28"/>
          <w:szCs w:val="28"/>
        </w:rPr>
        <w:instrText xml:space="preserve"> PAGEREF _Toc138834964 \h </w:instrText>
      </w:r>
      <w:r>
        <w:rPr>
          <w:rStyle w:val="18"/>
          <w:snapToGrid w:val="0"/>
          <w:color w:val="auto"/>
          <w:sz w:val="28"/>
          <w:szCs w:val="28"/>
        </w:rPr>
        <w:fldChar w:fldCharType="separate"/>
      </w:r>
      <w:r>
        <w:rPr>
          <w:rStyle w:val="18"/>
          <w:snapToGrid w:val="0"/>
          <w:color w:val="auto"/>
          <w:sz w:val="28"/>
          <w:szCs w:val="28"/>
        </w:rPr>
        <w:t>16</w:t>
      </w:r>
      <w:r>
        <w:rPr>
          <w:rStyle w:val="18"/>
          <w:snapToGrid w:val="0"/>
          <w:color w:val="auto"/>
          <w:sz w:val="28"/>
          <w:szCs w:val="28"/>
        </w:rPr>
        <w:fldChar w:fldCharType="end"/>
      </w:r>
      <w:r>
        <w:rPr>
          <w:rStyle w:val="18"/>
          <w:snapToGrid w:val="0"/>
          <w:color w:val="auto"/>
          <w:sz w:val="28"/>
          <w:szCs w:val="28"/>
        </w:rPr>
        <w:fldChar w:fldCharType="end"/>
      </w:r>
    </w:p>
    <w:p>
      <w:pPr>
        <w:pStyle w:val="10"/>
        <w:tabs>
          <w:tab w:val="right" w:leader="dot" w:pos="8834"/>
          <w:tab w:val="clear" w:pos="8364"/>
        </w:tabs>
        <w:spacing w:line="360" w:lineRule="auto"/>
        <w:rPr>
          <w:rStyle w:val="18"/>
          <w:snapToGrid w:val="0"/>
          <w:color w:val="auto"/>
          <w:sz w:val="28"/>
          <w:szCs w:val="28"/>
        </w:rPr>
      </w:pPr>
      <w:r>
        <w:rPr>
          <w:rStyle w:val="18"/>
          <w:snapToGrid w:val="0"/>
          <w:color w:val="auto"/>
          <w:sz w:val="28"/>
          <w:szCs w:val="28"/>
        </w:rPr>
        <w:fldChar w:fldCharType="begin"/>
      </w:r>
      <w:r>
        <w:rPr>
          <w:rStyle w:val="18"/>
          <w:snapToGrid w:val="0"/>
          <w:color w:val="auto"/>
          <w:sz w:val="28"/>
          <w:szCs w:val="28"/>
        </w:rPr>
        <w:instrText xml:space="preserve"> HYPERLINK \l "_Toc138834965" </w:instrText>
      </w:r>
      <w:r>
        <w:rPr>
          <w:rStyle w:val="18"/>
          <w:snapToGrid w:val="0"/>
          <w:color w:val="auto"/>
          <w:sz w:val="28"/>
          <w:szCs w:val="28"/>
        </w:rPr>
        <w:fldChar w:fldCharType="separate"/>
      </w:r>
      <w:r>
        <w:rPr>
          <w:rStyle w:val="18"/>
          <w:rFonts w:hint="eastAsia"/>
          <w:snapToGrid w:val="0"/>
          <w:color w:val="auto"/>
          <w:sz w:val="28"/>
          <w:szCs w:val="28"/>
        </w:rPr>
        <w:t>三、生态环境现状、保护目标及评价标准</w:t>
      </w:r>
      <w:r>
        <w:rPr>
          <w:rStyle w:val="18"/>
          <w:snapToGrid w:val="0"/>
          <w:color w:val="auto"/>
          <w:sz w:val="28"/>
          <w:szCs w:val="28"/>
        </w:rPr>
        <w:tab/>
      </w:r>
      <w:r>
        <w:rPr>
          <w:rStyle w:val="18"/>
          <w:snapToGrid w:val="0"/>
          <w:color w:val="auto"/>
          <w:sz w:val="28"/>
          <w:szCs w:val="28"/>
        </w:rPr>
        <w:fldChar w:fldCharType="begin"/>
      </w:r>
      <w:r>
        <w:rPr>
          <w:rStyle w:val="18"/>
          <w:snapToGrid w:val="0"/>
          <w:color w:val="auto"/>
          <w:sz w:val="28"/>
          <w:szCs w:val="28"/>
        </w:rPr>
        <w:instrText xml:space="preserve"> PAGEREF _Toc138834965 \h </w:instrText>
      </w:r>
      <w:r>
        <w:rPr>
          <w:rStyle w:val="18"/>
          <w:snapToGrid w:val="0"/>
          <w:color w:val="auto"/>
          <w:sz w:val="28"/>
          <w:szCs w:val="28"/>
        </w:rPr>
        <w:fldChar w:fldCharType="separate"/>
      </w:r>
      <w:r>
        <w:rPr>
          <w:rStyle w:val="18"/>
          <w:snapToGrid w:val="0"/>
          <w:color w:val="auto"/>
          <w:sz w:val="28"/>
          <w:szCs w:val="28"/>
        </w:rPr>
        <w:t>22</w:t>
      </w:r>
      <w:r>
        <w:rPr>
          <w:rStyle w:val="18"/>
          <w:snapToGrid w:val="0"/>
          <w:color w:val="auto"/>
          <w:sz w:val="28"/>
          <w:szCs w:val="28"/>
        </w:rPr>
        <w:fldChar w:fldCharType="end"/>
      </w:r>
      <w:r>
        <w:rPr>
          <w:rStyle w:val="18"/>
          <w:snapToGrid w:val="0"/>
          <w:color w:val="auto"/>
          <w:sz w:val="28"/>
          <w:szCs w:val="28"/>
        </w:rPr>
        <w:fldChar w:fldCharType="end"/>
      </w:r>
    </w:p>
    <w:p>
      <w:pPr>
        <w:pStyle w:val="10"/>
        <w:tabs>
          <w:tab w:val="right" w:leader="dot" w:pos="8834"/>
          <w:tab w:val="clear" w:pos="8364"/>
        </w:tabs>
        <w:spacing w:line="360" w:lineRule="auto"/>
        <w:rPr>
          <w:rStyle w:val="18"/>
          <w:snapToGrid w:val="0"/>
          <w:color w:val="auto"/>
          <w:sz w:val="28"/>
          <w:szCs w:val="28"/>
        </w:rPr>
      </w:pPr>
      <w:r>
        <w:rPr>
          <w:rStyle w:val="18"/>
          <w:snapToGrid w:val="0"/>
          <w:color w:val="auto"/>
          <w:sz w:val="28"/>
          <w:szCs w:val="28"/>
        </w:rPr>
        <w:fldChar w:fldCharType="begin"/>
      </w:r>
      <w:r>
        <w:rPr>
          <w:rStyle w:val="18"/>
          <w:snapToGrid w:val="0"/>
          <w:color w:val="auto"/>
          <w:sz w:val="28"/>
          <w:szCs w:val="28"/>
        </w:rPr>
        <w:instrText xml:space="preserve"> HYPERLINK \l "_Toc138834966" </w:instrText>
      </w:r>
      <w:r>
        <w:rPr>
          <w:rStyle w:val="18"/>
          <w:snapToGrid w:val="0"/>
          <w:color w:val="auto"/>
          <w:sz w:val="28"/>
          <w:szCs w:val="28"/>
        </w:rPr>
        <w:fldChar w:fldCharType="separate"/>
      </w:r>
      <w:r>
        <w:rPr>
          <w:rStyle w:val="18"/>
          <w:rFonts w:hint="eastAsia"/>
          <w:snapToGrid w:val="0"/>
          <w:color w:val="auto"/>
          <w:sz w:val="28"/>
          <w:szCs w:val="28"/>
        </w:rPr>
        <w:t>四、生态环境影响分析</w:t>
      </w:r>
      <w:r>
        <w:rPr>
          <w:rStyle w:val="18"/>
          <w:snapToGrid w:val="0"/>
          <w:color w:val="auto"/>
          <w:sz w:val="28"/>
          <w:szCs w:val="28"/>
        </w:rPr>
        <w:tab/>
      </w:r>
      <w:r>
        <w:rPr>
          <w:rStyle w:val="18"/>
          <w:snapToGrid w:val="0"/>
          <w:color w:val="auto"/>
          <w:sz w:val="28"/>
          <w:szCs w:val="28"/>
        </w:rPr>
        <w:fldChar w:fldCharType="begin"/>
      </w:r>
      <w:r>
        <w:rPr>
          <w:rStyle w:val="18"/>
          <w:snapToGrid w:val="0"/>
          <w:color w:val="auto"/>
          <w:sz w:val="28"/>
          <w:szCs w:val="28"/>
        </w:rPr>
        <w:instrText xml:space="preserve"> PAGEREF _Toc138834966 \h </w:instrText>
      </w:r>
      <w:r>
        <w:rPr>
          <w:rStyle w:val="18"/>
          <w:snapToGrid w:val="0"/>
          <w:color w:val="auto"/>
          <w:sz w:val="28"/>
          <w:szCs w:val="28"/>
        </w:rPr>
        <w:fldChar w:fldCharType="separate"/>
      </w:r>
      <w:r>
        <w:rPr>
          <w:rStyle w:val="18"/>
          <w:snapToGrid w:val="0"/>
          <w:color w:val="auto"/>
          <w:sz w:val="28"/>
          <w:szCs w:val="28"/>
        </w:rPr>
        <w:t>29</w:t>
      </w:r>
      <w:r>
        <w:rPr>
          <w:rStyle w:val="18"/>
          <w:snapToGrid w:val="0"/>
          <w:color w:val="auto"/>
          <w:sz w:val="28"/>
          <w:szCs w:val="28"/>
        </w:rPr>
        <w:fldChar w:fldCharType="end"/>
      </w:r>
      <w:r>
        <w:rPr>
          <w:rStyle w:val="18"/>
          <w:snapToGrid w:val="0"/>
          <w:color w:val="auto"/>
          <w:sz w:val="28"/>
          <w:szCs w:val="28"/>
        </w:rPr>
        <w:fldChar w:fldCharType="end"/>
      </w:r>
    </w:p>
    <w:p>
      <w:pPr>
        <w:pStyle w:val="10"/>
        <w:tabs>
          <w:tab w:val="right" w:leader="dot" w:pos="8834"/>
          <w:tab w:val="clear" w:pos="8364"/>
        </w:tabs>
        <w:spacing w:line="360" w:lineRule="auto"/>
        <w:rPr>
          <w:rStyle w:val="18"/>
          <w:snapToGrid w:val="0"/>
          <w:color w:val="auto"/>
          <w:sz w:val="28"/>
          <w:szCs w:val="28"/>
        </w:rPr>
      </w:pPr>
      <w:r>
        <w:rPr>
          <w:rStyle w:val="18"/>
          <w:snapToGrid w:val="0"/>
          <w:color w:val="auto"/>
          <w:sz w:val="28"/>
          <w:szCs w:val="28"/>
        </w:rPr>
        <w:fldChar w:fldCharType="begin"/>
      </w:r>
      <w:r>
        <w:rPr>
          <w:rStyle w:val="18"/>
          <w:snapToGrid w:val="0"/>
          <w:color w:val="auto"/>
          <w:sz w:val="28"/>
          <w:szCs w:val="28"/>
        </w:rPr>
        <w:instrText xml:space="preserve"> HYPERLINK \l "_Toc138834967" </w:instrText>
      </w:r>
      <w:r>
        <w:rPr>
          <w:rStyle w:val="18"/>
          <w:snapToGrid w:val="0"/>
          <w:color w:val="auto"/>
          <w:sz w:val="28"/>
          <w:szCs w:val="28"/>
        </w:rPr>
        <w:fldChar w:fldCharType="separate"/>
      </w:r>
      <w:r>
        <w:rPr>
          <w:rStyle w:val="18"/>
          <w:rFonts w:hint="eastAsia"/>
          <w:snapToGrid w:val="0"/>
          <w:color w:val="auto"/>
          <w:sz w:val="28"/>
          <w:szCs w:val="28"/>
        </w:rPr>
        <w:t>五、主要生态环境保护措施</w:t>
      </w:r>
      <w:r>
        <w:rPr>
          <w:rStyle w:val="18"/>
          <w:snapToGrid w:val="0"/>
          <w:color w:val="auto"/>
          <w:sz w:val="28"/>
          <w:szCs w:val="28"/>
        </w:rPr>
        <w:tab/>
      </w:r>
      <w:r>
        <w:rPr>
          <w:rStyle w:val="18"/>
          <w:snapToGrid w:val="0"/>
          <w:color w:val="auto"/>
          <w:sz w:val="28"/>
          <w:szCs w:val="28"/>
        </w:rPr>
        <w:fldChar w:fldCharType="begin"/>
      </w:r>
      <w:r>
        <w:rPr>
          <w:rStyle w:val="18"/>
          <w:snapToGrid w:val="0"/>
          <w:color w:val="auto"/>
          <w:sz w:val="28"/>
          <w:szCs w:val="28"/>
        </w:rPr>
        <w:instrText xml:space="preserve"> PAGEREF _Toc138834967 \h </w:instrText>
      </w:r>
      <w:r>
        <w:rPr>
          <w:rStyle w:val="18"/>
          <w:snapToGrid w:val="0"/>
          <w:color w:val="auto"/>
          <w:sz w:val="28"/>
          <w:szCs w:val="28"/>
        </w:rPr>
        <w:fldChar w:fldCharType="separate"/>
      </w:r>
      <w:r>
        <w:rPr>
          <w:rStyle w:val="18"/>
          <w:snapToGrid w:val="0"/>
          <w:color w:val="auto"/>
          <w:sz w:val="28"/>
          <w:szCs w:val="28"/>
        </w:rPr>
        <w:t>38</w:t>
      </w:r>
      <w:r>
        <w:rPr>
          <w:rStyle w:val="18"/>
          <w:snapToGrid w:val="0"/>
          <w:color w:val="auto"/>
          <w:sz w:val="28"/>
          <w:szCs w:val="28"/>
        </w:rPr>
        <w:fldChar w:fldCharType="end"/>
      </w:r>
      <w:r>
        <w:rPr>
          <w:rStyle w:val="18"/>
          <w:snapToGrid w:val="0"/>
          <w:color w:val="auto"/>
          <w:sz w:val="28"/>
          <w:szCs w:val="28"/>
        </w:rPr>
        <w:fldChar w:fldCharType="end"/>
      </w:r>
    </w:p>
    <w:p>
      <w:pPr>
        <w:pStyle w:val="10"/>
        <w:tabs>
          <w:tab w:val="right" w:leader="dot" w:pos="8834"/>
          <w:tab w:val="clear" w:pos="8364"/>
        </w:tabs>
        <w:spacing w:line="360" w:lineRule="auto"/>
        <w:rPr>
          <w:rStyle w:val="18"/>
          <w:snapToGrid w:val="0"/>
          <w:color w:val="auto"/>
          <w:sz w:val="28"/>
          <w:szCs w:val="28"/>
        </w:rPr>
      </w:pPr>
      <w:r>
        <w:rPr>
          <w:rStyle w:val="18"/>
          <w:snapToGrid w:val="0"/>
          <w:color w:val="auto"/>
          <w:sz w:val="28"/>
          <w:szCs w:val="28"/>
        </w:rPr>
        <w:fldChar w:fldCharType="begin"/>
      </w:r>
      <w:r>
        <w:rPr>
          <w:rStyle w:val="18"/>
          <w:snapToGrid w:val="0"/>
          <w:color w:val="auto"/>
          <w:sz w:val="28"/>
          <w:szCs w:val="28"/>
        </w:rPr>
        <w:instrText xml:space="preserve"> HYPERLINK \l "_Toc138834968" </w:instrText>
      </w:r>
      <w:r>
        <w:rPr>
          <w:rStyle w:val="18"/>
          <w:snapToGrid w:val="0"/>
          <w:color w:val="auto"/>
          <w:sz w:val="28"/>
          <w:szCs w:val="28"/>
        </w:rPr>
        <w:fldChar w:fldCharType="separate"/>
      </w:r>
      <w:r>
        <w:rPr>
          <w:rStyle w:val="18"/>
          <w:rFonts w:hint="eastAsia"/>
          <w:snapToGrid w:val="0"/>
          <w:color w:val="auto"/>
          <w:sz w:val="28"/>
          <w:szCs w:val="28"/>
        </w:rPr>
        <w:t>六、生态环境保护措施监督检查清单</w:t>
      </w:r>
      <w:r>
        <w:rPr>
          <w:rStyle w:val="18"/>
          <w:snapToGrid w:val="0"/>
          <w:color w:val="auto"/>
          <w:sz w:val="28"/>
          <w:szCs w:val="28"/>
        </w:rPr>
        <w:tab/>
      </w:r>
      <w:r>
        <w:rPr>
          <w:rStyle w:val="18"/>
          <w:snapToGrid w:val="0"/>
          <w:color w:val="auto"/>
          <w:sz w:val="28"/>
          <w:szCs w:val="28"/>
        </w:rPr>
        <w:fldChar w:fldCharType="begin"/>
      </w:r>
      <w:r>
        <w:rPr>
          <w:rStyle w:val="18"/>
          <w:snapToGrid w:val="0"/>
          <w:color w:val="auto"/>
          <w:sz w:val="28"/>
          <w:szCs w:val="28"/>
        </w:rPr>
        <w:instrText xml:space="preserve"> PAGEREF _Toc138834968 \h </w:instrText>
      </w:r>
      <w:r>
        <w:rPr>
          <w:rStyle w:val="18"/>
          <w:snapToGrid w:val="0"/>
          <w:color w:val="auto"/>
          <w:sz w:val="28"/>
          <w:szCs w:val="28"/>
        </w:rPr>
        <w:fldChar w:fldCharType="separate"/>
      </w:r>
      <w:r>
        <w:rPr>
          <w:rStyle w:val="18"/>
          <w:snapToGrid w:val="0"/>
          <w:color w:val="auto"/>
          <w:sz w:val="28"/>
          <w:szCs w:val="28"/>
        </w:rPr>
        <w:t>49</w:t>
      </w:r>
      <w:r>
        <w:rPr>
          <w:rStyle w:val="18"/>
          <w:snapToGrid w:val="0"/>
          <w:color w:val="auto"/>
          <w:sz w:val="28"/>
          <w:szCs w:val="28"/>
        </w:rPr>
        <w:fldChar w:fldCharType="end"/>
      </w:r>
      <w:r>
        <w:rPr>
          <w:rStyle w:val="18"/>
          <w:snapToGrid w:val="0"/>
          <w:color w:val="auto"/>
          <w:sz w:val="28"/>
          <w:szCs w:val="28"/>
        </w:rPr>
        <w:fldChar w:fldCharType="end"/>
      </w:r>
    </w:p>
    <w:p>
      <w:pPr>
        <w:pStyle w:val="10"/>
        <w:tabs>
          <w:tab w:val="right" w:leader="dot" w:pos="8834"/>
          <w:tab w:val="clear" w:pos="8364"/>
        </w:tabs>
        <w:spacing w:line="360" w:lineRule="auto"/>
        <w:rPr>
          <w:rStyle w:val="18"/>
          <w:snapToGrid w:val="0"/>
          <w:color w:val="auto"/>
          <w:sz w:val="28"/>
          <w:szCs w:val="28"/>
        </w:rPr>
      </w:pPr>
      <w:r>
        <w:rPr>
          <w:rStyle w:val="18"/>
          <w:snapToGrid w:val="0"/>
          <w:color w:val="auto"/>
          <w:sz w:val="28"/>
          <w:szCs w:val="28"/>
        </w:rPr>
        <w:fldChar w:fldCharType="begin"/>
      </w:r>
      <w:r>
        <w:rPr>
          <w:rStyle w:val="18"/>
          <w:snapToGrid w:val="0"/>
          <w:color w:val="auto"/>
          <w:sz w:val="28"/>
          <w:szCs w:val="28"/>
        </w:rPr>
        <w:instrText xml:space="preserve"> HYPERLINK \l "_Toc138834969" </w:instrText>
      </w:r>
      <w:r>
        <w:rPr>
          <w:rStyle w:val="18"/>
          <w:snapToGrid w:val="0"/>
          <w:color w:val="auto"/>
          <w:sz w:val="28"/>
          <w:szCs w:val="28"/>
        </w:rPr>
        <w:fldChar w:fldCharType="separate"/>
      </w:r>
      <w:r>
        <w:rPr>
          <w:rStyle w:val="18"/>
          <w:rFonts w:hint="eastAsia"/>
          <w:snapToGrid w:val="0"/>
          <w:color w:val="auto"/>
          <w:sz w:val="28"/>
          <w:szCs w:val="28"/>
        </w:rPr>
        <w:t>七、结论</w:t>
      </w:r>
      <w:r>
        <w:rPr>
          <w:rStyle w:val="18"/>
          <w:snapToGrid w:val="0"/>
          <w:color w:val="auto"/>
          <w:sz w:val="28"/>
          <w:szCs w:val="28"/>
        </w:rPr>
        <w:tab/>
      </w:r>
      <w:r>
        <w:rPr>
          <w:rStyle w:val="18"/>
          <w:snapToGrid w:val="0"/>
          <w:color w:val="auto"/>
          <w:sz w:val="28"/>
          <w:szCs w:val="28"/>
        </w:rPr>
        <w:fldChar w:fldCharType="begin"/>
      </w:r>
      <w:r>
        <w:rPr>
          <w:rStyle w:val="18"/>
          <w:snapToGrid w:val="0"/>
          <w:color w:val="auto"/>
          <w:sz w:val="28"/>
          <w:szCs w:val="28"/>
        </w:rPr>
        <w:instrText xml:space="preserve"> PAGEREF _Toc138834969 \h </w:instrText>
      </w:r>
      <w:r>
        <w:rPr>
          <w:rStyle w:val="18"/>
          <w:snapToGrid w:val="0"/>
          <w:color w:val="auto"/>
          <w:sz w:val="28"/>
          <w:szCs w:val="28"/>
        </w:rPr>
        <w:fldChar w:fldCharType="separate"/>
      </w:r>
      <w:r>
        <w:rPr>
          <w:rStyle w:val="18"/>
          <w:snapToGrid w:val="0"/>
          <w:color w:val="auto"/>
          <w:sz w:val="28"/>
          <w:szCs w:val="28"/>
        </w:rPr>
        <w:t>51</w:t>
      </w:r>
      <w:r>
        <w:rPr>
          <w:rStyle w:val="18"/>
          <w:snapToGrid w:val="0"/>
          <w:color w:val="auto"/>
          <w:sz w:val="28"/>
          <w:szCs w:val="28"/>
        </w:rPr>
        <w:fldChar w:fldCharType="end"/>
      </w:r>
      <w:r>
        <w:rPr>
          <w:rStyle w:val="18"/>
          <w:snapToGrid w:val="0"/>
          <w:color w:val="auto"/>
          <w:sz w:val="28"/>
          <w:szCs w:val="28"/>
        </w:rPr>
        <w:fldChar w:fldCharType="end"/>
      </w:r>
    </w:p>
    <w:p>
      <w:pPr>
        <w:pStyle w:val="10"/>
        <w:tabs>
          <w:tab w:val="right" w:leader="dot" w:pos="8834"/>
          <w:tab w:val="clear" w:pos="8364"/>
        </w:tabs>
        <w:spacing w:line="360" w:lineRule="auto"/>
        <w:rPr>
          <w:rStyle w:val="18"/>
          <w:snapToGrid w:val="0"/>
          <w:color w:val="auto"/>
          <w:sz w:val="28"/>
          <w:szCs w:val="28"/>
        </w:rPr>
      </w:pPr>
      <w:r>
        <w:rPr>
          <w:rStyle w:val="18"/>
          <w:snapToGrid w:val="0"/>
          <w:color w:val="auto"/>
          <w:sz w:val="28"/>
          <w:szCs w:val="28"/>
        </w:rPr>
        <w:fldChar w:fldCharType="begin"/>
      </w:r>
      <w:r>
        <w:rPr>
          <w:rStyle w:val="18"/>
          <w:snapToGrid w:val="0"/>
          <w:color w:val="auto"/>
          <w:sz w:val="28"/>
          <w:szCs w:val="28"/>
        </w:rPr>
        <w:instrText xml:space="preserve"> HYPERLINK \l "_Toc138834970" </w:instrText>
      </w:r>
      <w:r>
        <w:rPr>
          <w:rStyle w:val="18"/>
          <w:snapToGrid w:val="0"/>
          <w:color w:val="auto"/>
          <w:sz w:val="28"/>
          <w:szCs w:val="28"/>
        </w:rPr>
        <w:fldChar w:fldCharType="separate"/>
      </w:r>
      <w:r>
        <w:rPr>
          <w:rStyle w:val="18"/>
          <w:rFonts w:hint="eastAsia"/>
          <w:snapToGrid w:val="0"/>
          <w:color w:val="auto"/>
          <w:sz w:val="28"/>
          <w:szCs w:val="28"/>
        </w:rPr>
        <w:t>附件</w:t>
      </w:r>
      <w:bookmarkStart w:id="6" w:name="_Hlt161320868"/>
      <w:bookmarkStart w:id="7" w:name="_Hlt161320869"/>
      <w:r>
        <w:rPr>
          <w:rStyle w:val="18"/>
          <w:snapToGrid w:val="0"/>
          <w:color w:val="auto"/>
          <w:sz w:val="28"/>
          <w:szCs w:val="28"/>
        </w:rPr>
        <w:tab/>
      </w:r>
      <w:bookmarkEnd w:id="6"/>
      <w:bookmarkEnd w:id="7"/>
      <w:bookmarkStart w:id="8" w:name="_Hlt138835037"/>
      <w:bookmarkStart w:id="9" w:name="_Hlt138835038"/>
      <w:r>
        <w:rPr>
          <w:rStyle w:val="18"/>
          <w:snapToGrid w:val="0"/>
          <w:color w:val="auto"/>
          <w:sz w:val="28"/>
          <w:szCs w:val="28"/>
        </w:rPr>
        <w:fldChar w:fldCharType="begin"/>
      </w:r>
      <w:r>
        <w:rPr>
          <w:rStyle w:val="18"/>
          <w:snapToGrid w:val="0"/>
          <w:color w:val="auto"/>
          <w:sz w:val="28"/>
          <w:szCs w:val="28"/>
        </w:rPr>
        <w:instrText xml:space="preserve"> PAGEREF _Toc138834970 \h </w:instrText>
      </w:r>
      <w:r>
        <w:rPr>
          <w:rStyle w:val="18"/>
          <w:snapToGrid w:val="0"/>
          <w:color w:val="auto"/>
          <w:sz w:val="28"/>
          <w:szCs w:val="28"/>
        </w:rPr>
        <w:fldChar w:fldCharType="separate"/>
      </w:r>
      <w:r>
        <w:rPr>
          <w:rStyle w:val="18"/>
          <w:snapToGrid w:val="0"/>
          <w:color w:val="auto"/>
          <w:sz w:val="28"/>
          <w:szCs w:val="28"/>
        </w:rPr>
        <w:t>52</w:t>
      </w:r>
      <w:r>
        <w:rPr>
          <w:rStyle w:val="18"/>
          <w:snapToGrid w:val="0"/>
          <w:color w:val="auto"/>
          <w:sz w:val="28"/>
          <w:szCs w:val="28"/>
        </w:rPr>
        <w:fldChar w:fldCharType="end"/>
      </w:r>
      <w:bookmarkEnd w:id="8"/>
      <w:bookmarkEnd w:id="9"/>
      <w:r>
        <w:rPr>
          <w:rStyle w:val="18"/>
          <w:snapToGrid w:val="0"/>
          <w:color w:val="auto"/>
          <w:sz w:val="28"/>
          <w:szCs w:val="28"/>
        </w:rPr>
        <w:fldChar w:fldCharType="end"/>
      </w:r>
    </w:p>
    <w:p>
      <w:pPr>
        <w:pStyle w:val="10"/>
        <w:tabs>
          <w:tab w:val="right" w:leader="dot" w:pos="8834"/>
          <w:tab w:val="clear" w:pos="8364"/>
        </w:tabs>
        <w:spacing w:line="360" w:lineRule="auto"/>
        <w:rPr>
          <w:rStyle w:val="18"/>
          <w:snapToGrid w:val="0"/>
          <w:color w:val="auto"/>
          <w:sz w:val="28"/>
          <w:szCs w:val="28"/>
        </w:rPr>
      </w:pPr>
      <w:r>
        <w:rPr>
          <w:rStyle w:val="18"/>
          <w:snapToGrid w:val="0"/>
          <w:color w:val="auto"/>
          <w:sz w:val="28"/>
          <w:szCs w:val="28"/>
        </w:rPr>
        <w:fldChar w:fldCharType="begin"/>
      </w:r>
      <w:r>
        <w:rPr>
          <w:rStyle w:val="18"/>
          <w:snapToGrid w:val="0"/>
          <w:color w:val="auto"/>
          <w:sz w:val="28"/>
          <w:szCs w:val="28"/>
        </w:rPr>
        <w:instrText xml:space="preserve"> HYPERLINK \l "_Toc138834973" </w:instrText>
      </w:r>
      <w:r>
        <w:rPr>
          <w:rStyle w:val="18"/>
          <w:snapToGrid w:val="0"/>
          <w:color w:val="auto"/>
          <w:sz w:val="28"/>
          <w:szCs w:val="28"/>
        </w:rPr>
        <w:fldChar w:fldCharType="separate"/>
      </w:r>
      <w:r>
        <w:rPr>
          <w:rStyle w:val="18"/>
          <w:rFonts w:hint="eastAsia"/>
          <w:snapToGrid w:val="0"/>
          <w:color w:val="auto"/>
          <w:sz w:val="28"/>
          <w:szCs w:val="28"/>
        </w:rPr>
        <w:t>附图</w:t>
      </w:r>
      <w:r>
        <w:rPr>
          <w:rStyle w:val="18"/>
          <w:snapToGrid w:val="0"/>
          <w:color w:val="auto"/>
          <w:sz w:val="28"/>
          <w:szCs w:val="28"/>
        </w:rPr>
        <w:tab/>
      </w:r>
      <w:r>
        <w:rPr>
          <w:rStyle w:val="18"/>
          <w:snapToGrid w:val="0"/>
          <w:color w:val="auto"/>
          <w:sz w:val="28"/>
          <w:szCs w:val="28"/>
        </w:rPr>
        <w:fldChar w:fldCharType="begin"/>
      </w:r>
      <w:r>
        <w:rPr>
          <w:rStyle w:val="18"/>
          <w:snapToGrid w:val="0"/>
          <w:color w:val="auto"/>
          <w:sz w:val="28"/>
          <w:szCs w:val="28"/>
        </w:rPr>
        <w:instrText xml:space="preserve"> PAGEREF _Toc138834973 \h </w:instrText>
      </w:r>
      <w:r>
        <w:rPr>
          <w:rStyle w:val="18"/>
          <w:snapToGrid w:val="0"/>
          <w:color w:val="auto"/>
          <w:sz w:val="28"/>
          <w:szCs w:val="28"/>
        </w:rPr>
        <w:fldChar w:fldCharType="separate"/>
      </w:r>
      <w:r>
        <w:rPr>
          <w:rStyle w:val="18"/>
          <w:snapToGrid w:val="0"/>
          <w:color w:val="auto"/>
          <w:sz w:val="28"/>
          <w:szCs w:val="28"/>
        </w:rPr>
        <w:t>59</w:t>
      </w:r>
      <w:r>
        <w:rPr>
          <w:rStyle w:val="18"/>
          <w:snapToGrid w:val="0"/>
          <w:color w:val="auto"/>
          <w:sz w:val="28"/>
          <w:szCs w:val="28"/>
        </w:rPr>
        <w:fldChar w:fldCharType="end"/>
      </w:r>
      <w:r>
        <w:rPr>
          <w:rStyle w:val="18"/>
          <w:snapToGrid w:val="0"/>
          <w:color w:val="auto"/>
          <w:sz w:val="28"/>
          <w:szCs w:val="28"/>
        </w:rPr>
        <w:fldChar w:fldCharType="end"/>
      </w:r>
    </w:p>
    <w:p>
      <w:pPr>
        <w:pStyle w:val="10"/>
        <w:tabs>
          <w:tab w:val="right" w:leader="dot" w:pos="8834"/>
          <w:tab w:val="clear" w:pos="8364"/>
        </w:tabs>
        <w:spacing w:line="360" w:lineRule="auto"/>
        <w:rPr>
          <w:sz w:val="28"/>
          <w:szCs w:val="28"/>
        </w:rPr>
      </w:pPr>
      <w:r>
        <w:rPr>
          <w:rStyle w:val="18"/>
          <w:snapToGrid w:val="0"/>
          <w:color w:val="auto"/>
        </w:rPr>
        <w:fldChar w:fldCharType="end"/>
      </w:r>
    </w:p>
    <w:p>
      <w:pPr>
        <w:adjustRightInd w:val="0"/>
        <w:snapToGrid w:val="0"/>
        <w:spacing w:line="360" w:lineRule="auto"/>
        <w:rPr>
          <w:rFonts w:hint="eastAsia"/>
          <w:sz w:val="28"/>
          <w:szCs w:val="28"/>
        </w:rPr>
      </w:pPr>
    </w:p>
    <w:p>
      <w:pPr>
        <w:widowControl/>
        <w:jc w:val="left"/>
        <w:rPr>
          <w:rFonts w:hint="eastAsia"/>
        </w:rPr>
      </w:pPr>
    </w:p>
    <w:p>
      <w:pPr>
        <w:adjustRightInd w:val="0"/>
        <w:snapToGrid w:val="0"/>
        <w:spacing w:line="360" w:lineRule="auto"/>
        <w:rPr>
          <w:sz w:val="28"/>
          <w:szCs w:val="28"/>
        </w:rPr>
      </w:pPr>
      <w:r>
        <w:rPr>
          <w:sz w:val="28"/>
          <w:szCs w:val="28"/>
        </w:rPr>
        <w:t>附</w:t>
      </w:r>
      <w:r>
        <w:rPr>
          <w:rFonts w:hint="eastAsia"/>
          <w:sz w:val="28"/>
          <w:szCs w:val="28"/>
        </w:rPr>
        <w:t>件</w:t>
      </w:r>
    </w:p>
    <w:p>
      <w:pPr>
        <w:adjustRightInd w:val="0"/>
        <w:snapToGrid w:val="0"/>
        <w:spacing w:line="360" w:lineRule="auto"/>
        <w:ind w:firstLine="564"/>
        <w:rPr>
          <w:rFonts w:hint="eastAsia"/>
          <w:sz w:val="28"/>
          <w:szCs w:val="28"/>
        </w:rPr>
      </w:pPr>
      <w:r>
        <w:rPr>
          <w:sz w:val="28"/>
          <w:szCs w:val="28"/>
        </w:rPr>
        <w:t>附</w:t>
      </w:r>
      <w:r>
        <w:rPr>
          <w:rFonts w:hint="eastAsia"/>
          <w:sz w:val="28"/>
          <w:szCs w:val="28"/>
        </w:rPr>
        <w:t>件1 绥化市水务局《关于绥化市永安灌区渠首枢纽泄洪闸除险加固工程初步设计报告的批复》（绥水发〔2024〕7号）</w:t>
      </w:r>
    </w:p>
    <w:p>
      <w:pPr>
        <w:adjustRightInd w:val="0"/>
        <w:snapToGrid w:val="0"/>
        <w:spacing w:line="360" w:lineRule="auto"/>
        <w:ind w:firstLine="564"/>
        <w:rPr>
          <w:rFonts w:hint="eastAsia"/>
          <w:sz w:val="28"/>
          <w:szCs w:val="28"/>
        </w:rPr>
      </w:pPr>
    </w:p>
    <w:p>
      <w:pPr>
        <w:adjustRightInd w:val="0"/>
        <w:snapToGrid w:val="0"/>
        <w:spacing w:line="360" w:lineRule="auto"/>
        <w:ind w:firstLine="564"/>
        <w:rPr>
          <w:rFonts w:hint="eastAsia"/>
          <w:sz w:val="28"/>
          <w:szCs w:val="28"/>
        </w:rPr>
      </w:pPr>
    </w:p>
    <w:p>
      <w:pPr>
        <w:snapToGrid w:val="0"/>
        <w:spacing w:line="360" w:lineRule="auto"/>
        <w:ind w:firstLine="560" w:firstLineChars="200"/>
        <w:rPr>
          <w:rFonts w:hint="eastAsia"/>
          <w:sz w:val="28"/>
          <w:szCs w:val="28"/>
        </w:rPr>
      </w:pPr>
    </w:p>
    <w:p>
      <w:pPr>
        <w:snapToGrid w:val="0"/>
        <w:spacing w:line="360" w:lineRule="auto"/>
        <w:ind w:firstLine="560" w:firstLineChars="200"/>
        <w:rPr>
          <w:rFonts w:hint="eastAsia"/>
          <w:sz w:val="28"/>
          <w:szCs w:val="28"/>
        </w:rPr>
      </w:pPr>
    </w:p>
    <w:p>
      <w:pPr>
        <w:adjustRightInd w:val="0"/>
        <w:snapToGrid w:val="0"/>
        <w:spacing w:line="360" w:lineRule="auto"/>
        <w:ind w:firstLine="564"/>
        <w:rPr>
          <w:rFonts w:hint="eastAsia"/>
          <w:sz w:val="28"/>
          <w:szCs w:val="28"/>
        </w:rPr>
      </w:pPr>
    </w:p>
    <w:p>
      <w:pPr>
        <w:snapToGrid w:val="0"/>
        <w:spacing w:line="360" w:lineRule="auto"/>
        <w:ind w:firstLine="560" w:firstLineChars="200"/>
        <w:rPr>
          <w:rFonts w:hint="eastAsia"/>
          <w:sz w:val="28"/>
          <w:szCs w:val="28"/>
        </w:rPr>
      </w:pPr>
    </w:p>
    <w:p>
      <w:pPr>
        <w:snapToGrid w:val="0"/>
        <w:spacing w:line="360" w:lineRule="auto"/>
        <w:ind w:firstLine="560" w:firstLineChars="200"/>
        <w:rPr>
          <w:rFonts w:hint="eastAsia"/>
          <w:sz w:val="28"/>
          <w:szCs w:val="28"/>
        </w:rPr>
      </w:pPr>
    </w:p>
    <w:p>
      <w:pPr>
        <w:snapToGrid w:val="0"/>
        <w:spacing w:line="360" w:lineRule="auto"/>
        <w:ind w:firstLine="560" w:firstLineChars="200"/>
        <w:rPr>
          <w:rFonts w:hint="eastAsia"/>
          <w:sz w:val="28"/>
          <w:szCs w:val="28"/>
        </w:rPr>
      </w:pPr>
    </w:p>
    <w:p>
      <w:pPr>
        <w:snapToGrid w:val="0"/>
        <w:spacing w:line="360" w:lineRule="auto"/>
        <w:ind w:firstLine="560" w:firstLineChars="200"/>
        <w:rPr>
          <w:rFonts w:hint="eastAsia"/>
          <w:sz w:val="28"/>
          <w:szCs w:val="28"/>
        </w:rPr>
      </w:pPr>
    </w:p>
    <w:p>
      <w:pPr>
        <w:snapToGrid w:val="0"/>
        <w:spacing w:line="360" w:lineRule="auto"/>
        <w:ind w:firstLine="560" w:firstLineChars="200"/>
        <w:rPr>
          <w:rFonts w:hint="eastAsia"/>
          <w:sz w:val="28"/>
          <w:szCs w:val="28"/>
        </w:rPr>
      </w:pPr>
    </w:p>
    <w:p>
      <w:pPr>
        <w:adjustRightInd w:val="0"/>
        <w:snapToGrid w:val="0"/>
        <w:spacing w:line="360" w:lineRule="auto"/>
        <w:rPr>
          <w:sz w:val="28"/>
          <w:szCs w:val="28"/>
        </w:rPr>
      </w:pPr>
      <w:r>
        <w:rPr>
          <w:sz w:val="28"/>
          <w:szCs w:val="28"/>
        </w:rPr>
        <w:t>附图</w:t>
      </w:r>
    </w:p>
    <w:p>
      <w:pPr>
        <w:adjustRightInd w:val="0"/>
        <w:snapToGrid w:val="0"/>
        <w:spacing w:line="360" w:lineRule="auto"/>
        <w:ind w:firstLine="564"/>
        <w:rPr>
          <w:rFonts w:hint="eastAsia"/>
          <w:sz w:val="28"/>
          <w:szCs w:val="28"/>
        </w:rPr>
      </w:pPr>
      <w:r>
        <w:rPr>
          <w:sz w:val="28"/>
          <w:szCs w:val="28"/>
        </w:rPr>
        <w:t>附图1</w:t>
      </w:r>
      <w:r>
        <w:rPr>
          <w:rFonts w:hint="eastAsia"/>
          <w:sz w:val="28"/>
          <w:szCs w:val="28"/>
        </w:rPr>
        <w:t xml:space="preserve"> 项目地理位置图</w:t>
      </w:r>
    </w:p>
    <w:p>
      <w:pPr>
        <w:adjustRightInd w:val="0"/>
        <w:snapToGrid w:val="0"/>
        <w:spacing w:line="360" w:lineRule="auto"/>
        <w:ind w:firstLine="564"/>
        <w:rPr>
          <w:rFonts w:hint="eastAsia"/>
          <w:sz w:val="28"/>
          <w:szCs w:val="28"/>
        </w:rPr>
      </w:pPr>
      <w:r>
        <w:rPr>
          <w:sz w:val="28"/>
          <w:szCs w:val="28"/>
        </w:rPr>
        <w:t>附图</w:t>
      </w:r>
      <w:r>
        <w:rPr>
          <w:rFonts w:hint="eastAsia"/>
          <w:sz w:val="28"/>
          <w:szCs w:val="28"/>
        </w:rPr>
        <w:t>2绥化市永安灌区渠首枢纽平面位置图</w:t>
      </w:r>
    </w:p>
    <w:p>
      <w:pPr>
        <w:adjustRightInd w:val="0"/>
        <w:snapToGrid w:val="0"/>
        <w:spacing w:line="360" w:lineRule="auto"/>
        <w:ind w:firstLine="564"/>
        <w:rPr>
          <w:rFonts w:hint="eastAsia"/>
          <w:sz w:val="28"/>
          <w:szCs w:val="28"/>
        </w:rPr>
      </w:pPr>
      <w:r>
        <w:rPr>
          <w:rFonts w:hint="eastAsia"/>
          <w:sz w:val="28"/>
          <w:szCs w:val="28"/>
        </w:rPr>
        <w:t>附图3泄洪闸平面图</w:t>
      </w:r>
    </w:p>
    <w:p>
      <w:pPr>
        <w:adjustRightInd w:val="0"/>
        <w:snapToGrid w:val="0"/>
        <w:spacing w:line="360" w:lineRule="auto"/>
        <w:ind w:firstLine="564"/>
        <w:rPr>
          <w:rFonts w:hint="eastAsia"/>
          <w:sz w:val="28"/>
          <w:szCs w:val="28"/>
        </w:rPr>
      </w:pPr>
      <w:r>
        <w:rPr>
          <w:rFonts w:hint="eastAsia"/>
          <w:sz w:val="28"/>
          <w:szCs w:val="28"/>
        </w:rPr>
        <w:t>附图4泄洪闸剖面图</w:t>
      </w:r>
    </w:p>
    <w:p>
      <w:pPr>
        <w:adjustRightInd w:val="0"/>
        <w:snapToGrid w:val="0"/>
        <w:spacing w:line="360" w:lineRule="auto"/>
        <w:ind w:firstLine="564"/>
        <w:rPr>
          <w:rFonts w:hint="eastAsia"/>
          <w:sz w:val="28"/>
          <w:szCs w:val="28"/>
        </w:rPr>
      </w:pPr>
      <w:r>
        <w:rPr>
          <w:rFonts w:hint="eastAsia"/>
          <w:sz w:val="28"/>
          <w:szCs w:val="28"/>
        </w:rPr>
        <w:t>附图5 项目所在区域水系图</w:t>
      </w:r>
    </w:p>
    <w:p>
      <w:pPr>
        <w:adjustRightInd w:val="0"/>
        <w:snapToGrid w:val="0"/>
        <w:spacing w:line="360" w:lineRule="auto"/>
        <w:ind w:firstLine="564"/>
        <w:rPr>
          <w:rFonts w:hint="eastAsia"/>
          <w:sz w:val="28"/>
          <w:szCs w:val="28"/>
        </w:rPr>
      </w:pPr>
      <w:r>
        <w:rPr>
          <w:rFonts w:hint="eastAsia"/>
          <w:sz w:val="28"/>
          <w:szCs w:val="28"/>
        </w:rPr>
        <w:t>附图6工程与生态保护红线位置关系图</w:t>
      </w:r>
    </w:p>
    <w:p>
      <w:pPr>
        <w:adjustRightInd w:val="0"/>
        <w:snapToGrid w:val="0"/>
        <w:spacing w:line="360" w:lineRule="auto"/>
        <w:ind w:firstLine="564"/>
        <w:rPr>
          <w:rFonts w:hint="eastAsia"/>
          <w:sz w:val="28"/>
          <w:szCs w:val="28"/>
        </w:rPr>
      </w:pPr>
      <w:r>
        <w:rPr>
          <w:rFonts w:hint="eastAsia"/>
          <w:sz w:val="28"/>
          <w:szCs w:val="28"/>
        </w:rPr>
        <w:t>附图7施工期环境监测点位图</w:t>
      </w:r>
    </w:p>
    <w:p>
      <w:pPr>
        <w:adjustRightInd w:val="0"/>
        <w:snapToGrid w:val="0"/>
        <w:spacing w:line="360" w:lineRule="auto"/>
        <w:ind w:firstLine="564"/>
        <w:rPr>
          <w:rFonts w:hint="eastAsia"/>
          <w:sz w:val="28"/>
          <w:szCs w:val="28"/>
        </w:rPr>
      </w:pPr>
    </w:p>
    <w:p>
      <w:pPr>
        <w:adjustRightInd w:val="0"/>
        <w:snapToGrid w:val="0"/>
        <w:spacing w:line="360" w:lineRule="auto"/>
        <w:ind w:firstLine="564"/>
        <w:rPr>
          <w:rFonts w:hint="eastAsia"/>
          <w:sz w:val="28"/>
          <w:szCs w:val="28"/>
        </w:rPr>
      </w:pPr>
    </w:p>
    <w:p>
      <w:pPr>
        <w:widowControl/>
        <w:spacing w:line="360" w:lineRule="auto"/>
        <w:jc w:val="left"/>
        <w:rPr>
          <w:rFonts w:hint="eastAsia"/>
        </w:rPr>
      </w:pPr>
    </w:p>
    <w:p>
      <w:pPr>
        <w:widowControl/>
        <w:spacing w:line="360" w:lineRule="auto"/>
        <w:jc w:val="left"/>
        <w:rPr>
          <w:rFonts w:hint="eastAsia"/>
        </w:rPr>
      </w:pPr>
    </w:p>
    <w:p>
      <w:pPr>
        <w:widowControl/>
        <w:jc w:val="left"/>
        <w:sectPr>
          <w:footerReference r:id="rId5" w:type="even"/>
          <w:pgSz w:w="11906" w:h="16838"/>
          <w:pgMar w:top="1701" w:right="1531" w:bottom="1701" w:left="1531" w:header="851" w:footer="1077" w:gutter="0"/>
          <w:pgNumType w:start="0"/>
          <w:cols w:space="720" w:num="1"/>
          <w:docGrid w:linePitch="312" w:charSpace="0"/>
        </w:sectPr>
      </w:pPr>
    </w:p>
    <w:p>
      <w:pPr>
        <w:pStyle w:val="12"/>
        <w:jc w:val="center"/>
        <w:outlineLvl w:val="0"/>
        <w:rPr>
          <w:rFonts w:ascii="黑体" w:hAnsi="黑体" w:eastAsia="黑体"/>
          <w:snapToGrid w:val="0"/>
          <w:sz w:val="30"/>
          <w:szCs w:val="30"/>
        </w:rPr>
      </w:pPr>
      <w:bookmarkStart w:id="10" w:name="_Toc138834963"/>
      <w:r>
        <w:rPr>
          <w:rFonts w:hint="eastAsia" w:ascii="黑体" w:hAnsi="黑体" w:eastAsia="黑体"/>
          <w:snapToGrid w:val="0"/>
          <w:sz w:val="30"/>
          <w:szCs w:val="30"/>
        </w:rPr>
        <w:t>一、建设项目基本情况</w:t>
      </w:r>
      <w:bookmarkEnd w:id="10"/>
    </w:p>
    <w:tbl>
      <w:tblPr>
        <w:tblStyle w:val="14"/>
        <w:tblW w:w="8931"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34"/>
        <w:gridCol w:w="2707"/>
        <w:gridCol w:w="2461"/>
        <w:gridCol w:w="13"/>
        <w:gridCol w:w="26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4"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建设项目名称</w:t>
            </w:r>
          </w:p>
        </w:tc>
        <w:tc>
          <w:tcPr>
            <w:tcW w:w="7797" w:type="dxa"/>
            <w:gridSpan w:val="4"/>
            <w:noWrap w:val="0"/>
            <w:vAlign w:val="center"/>
          </w:tcPr>
          <w:p>
            <w:pPr>
              <w:adjustRightInd w:val="0"/>
              <w:snapToGrid w:val="0"/>
              <w:jc w:val="center"/>
              <w:rPr>
                <w:rFonts w:ascii="宋体" w:hAnsi="宋体" w:cs="宋体"/>
                <w:sz w:val="24"/>
              </w:rPr>
            </w:pPr>
            <w:r>
              <w:rPr>
                <w:rFonts w:hint="eastAsia" w:ascii="宋体" w:hAnsi="宋体" w:cs="宋体"/>
                <w:sz w:val="24"/>
              </w:rPr>
              <w:t>绥化市永安灌区渠首枢纽泄洪闸除险加固工程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34"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项目代码</w:t>
            </w:r>
          </w:p>
        </w:tc>
        <w:tc>
          <w:tcPr>
            <w:tcW w:w="7797" w:type="dxa"/>
            <w:gridSpan w:val="4"/>
            <w:noWrap w:val="0"/>
            <w:vAlign w:val="center"/>
          </w:tcPr>
          <w:p>
            <w:pPr>
              <w:adjustRightInd w:val="0"/>
              <w:snapToGrid w:val="0"/>
              <w:jc w:val="center"/>
              <w:rPr>
                <w:sz w:val="24"/>
              </w:rPr>
            </w:pPr>
            <w:r>
              <w:rPr>
                <w:sz w:val="24"/>
              </w:rPr>
              <w:t>2309-231200-04-01-292970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4"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建设单位联系人</w:t>
            </w:r>
          </w:p>
        </w:tc>
        <w:tc>
          <w:tcPr>
            <w:tcW w:w="2707" w:type="dxa"/>
            <w:noWrap w:val="0"/>
            <w:vAlign w:val="center"/>
          </w:tcPr>
          <w:p>
            <w:pPr>
              <w:adjustRightInd w:val="0"/>
              <w:snapToGrid w:val="0"/>
              <w:jc w:val="center"/>
              <w:rPr>
                <w:rFonts w:hint="default" w:eastAsia="宋体"/>
                <w:sz w:val="24"/>
                <w:lang w:val="en-US" w:eastAsia="zh-CN"/>
              </w:rPr>
            </w:pPr>
            <w:r>
              <w:rPr>
                <w:rFonts w:hint="eastAsia"/>
                <w:sz w:val="24"/>
              </w:rPr>
              <w:t>张</w:t>
            </w:r>
            <w:r>
              <w:rPr>
                <w:rFonts w:hint="eastAsia"/>
                <w:sz w:val="24"/>
                <w:lang w:val="en-US" w:eastAsia="zh-CN"/>
              </w:rPr>
              <w:t>**</w:t>
            </w:r>
          </w:p>
        </w:tc>
        <w:tc>
          <w:tcPr>
            <w:tcW w:w="2474" w:type="dxa"/>
            <w:gridSpan w:val="2"/>
            <w:noWrap w:val="0"/>
            <w:vAlign w:val="center"/>
          </w:tcPr>
          <w:p>
            <w:pPr>
              <w:adjustRightInd w:val="0"/>
              <w:snapToGrid w:val="0"/>
              <w:jc w:val="center"/>
              <w:rPr>
                <w:sz w:val="24"/>
              </w:rPr>
            </w:pPr>
            <w:r>
              <w:rPr>
                <w:sz w:val="24"/>
              </w:rPr>
              <w:t>联系方式</w:t>
            </w:r>
          </w:p>
        </w:tc>
        <w:tc>
          <w:tcPr>
            <w:tcW w:w="2616" w:type="dxa"/>
            <w:noWrap w:val="0"/>
            <w:vAlign w:val="center"/>
          </w:tcPr>
          <w:p>
            <w:pPr>
              <w:adjustRightInd w:val="0"/>
              <w:snapToGrid w:val="0"/>
              <w:jc w:val="center"/>
              <w:rPr>
                <w:sz w:val="24"/>
              </w:rPr>
            </w:pPr>
            <w:r>
              <w:rPr>
                <w:sz w:val="24"/>
              </w:rPr>
              <w:t>13</w:t>
            </w:r>
            <w:r>
              <w:rPr>
                <w:rFonts w:hint="eastAsia"/>
                <w:sz w:val="24"/>
                <w:lang w:val="en-US" w:eastAsia="zh-CN"/>
              </w:rPr>
              <w:t>******</w:t>
            </w:r>
            <w:r>
              <w:rPr>
                <w:sz w:val="24"/>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134"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建设地点</w:t>
            </w:r>
          </w:p>
        </w:tc>
        <w:tc>
          <w:tcPr>
            <w:tcW w:w="7797" w:type="dxa"/>
            <w:gridSpan w:val="4"/>
            <w:noWrap w:val="0"/>
            <w:vAlign w:val="center"/>
          </w:tcPr>
          <w:p>
            <w:pPr>
              <w:adjustRightInd w:val="0"/>
              <w:snapToGrid w:val="0"/>
              <w:jc w:val="center"/>
              <w:rPr>
                <w:rFonts w:hint="eastAsia"/>
                <w:sz w:val="24"/>
              </w:rPr>
            </w:pPr>
            <w:r>
              <w:rPr>
                <w:rFonts w:hint="eastAsia"/>
                <w:sz w:val="24"/>
              </w:rPr>
              <w:t>工程位于黑龙江省绥化市北林区新华乡红星村北偏东约6km处</w:t>
            </w:r>
          </w:p>
          <w:p>
            <w:pPr>
              <w:adjustRightInd w:val="0"/>
              <w:snapToGrid w:val="0"/>
              <w:jc w:val="center"/>
              <w:rPr>
                <w:sz w:val="24"/>
              </w:rPr>
            </w:pPr>
            <w:r>
              <w:rPr>
                <w:rFonts w:hint="eastAsia"/>
                <w:sz w:val="24"/>
              </w:rPr>
              <w:t>（呼兰河下游绥化市境内呼兰河左岸）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134"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地理坐标</w:t>
            </w:r>
          </w:p>
        </w:tc>
        <w:tc>
          <w:tcPr>
            <w:tcW w:w="7797" w:type="dxa"/>
            <w:gridSpan w:val="4"/>
            <w:noWrap w:val="0"/>
            <w:vAlign w:val="center"/>
          </w:tcPr>
          <w:p>
            <w:pPr>
              <w:widowControl/>
              <w:jc w:val="center"/>
              <w:rPr>
                <w:sz w:val="24"/>
              </w:rPr>
            </w:pPr>
            <w:r>
              <w:rPr>
                <w:sz w:val="24"/>
              </w:rPr>
              <w:t>经度：12</w:t>
            </w:r>
            <w:r>
              <w:rPr>
                <w:rFonts w:hint="eastAsia"/>
                <w:sz w:val="24"/>
              </w:rPr>
              <w:t>6</w:t>
            </w:r>
            <w:r>
              <w:rPr>
                <w:sz w:val="24"/>
              </w:rPr>
              <w:t>°</w:t>
            </w:r>
            <w:r>
              <w:rPr>
                <w:rFonts w:hint="eastAsia"/>
                <w:sz w:val="24"/>
              </w:rPr>
              <w:t>53</w:t>
            </w:r>
            <w:r>
              <w:rPr>
                <w:sz w:val="24"/>
              </w:rPr>
              <w:t>'</w:t>
            </w:r>
            <w:r>
              <w:rPr>
                <w:rFonts w:hint="eastAsia"/>
                <w:sz w:val="24"/>
              </w:rPr>
              <w:t>24.621</w:t>
            </w:r>
            <w:r>
              <w:rPr>
                <w:sz w:val="24"/>
              </w:rPr>
              <w:t>"，纬度：4</w:t>
            </w:r>
            <w:r>
              <w:rPr>
                <w:rFonts w:hint="eastAsia"/>
                <w:sz w:val="24"/>
              </w:rPr>
              <w:t>6</w:t>
            </w:r>
            <w:r>
              <w:rPr>
                <w:sz w:val="24"/>
              </w:rPr>
              <w:t>°</w:t>
            </w:r>
            <w:r>
              <w:rPr>
                <w:rFonts w:hint="eastAsia"/>
                <w:sz w:val="24"/>
              </w:rPr>
              <w:t>44</w:t>
            </w:r>
            <w:r>
              <w:rPr>
                <w:sz w:val="24"/>
              </w:rPr>
              <w:t>'</w:t>
            </w:r>
            <w:r>
              <w:rPr>
                <w:rFonts w:hint="eastAsia"/>
                <w:sz w:val="24"/>
              </w:rPr>
              <w:t>57.312</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134"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建设项目</w:t>
            </w:r>
          </w:p>
          <w:p>
            <w:pPr>
              <w:adjustRightInd w:val="0"/>
              <w:snapToGrid w:val="0"/>
              <w:jc w:val="center"/>
              <w:rPr>
                <w:rFonts w:ascii="宋体" w:hAnsi="宋体" w:cs="宋体"/>
                <w:sz w:val="24"/>
              </w:rPr>
            </w:pPr>
            <w:r>
              <w:rPr>
                <w:rFonts w:hint="eastAsia" w:ascii="宋体" w:hAnsi="宋体" w:cs="宋体"/>
                <w:sz w:val="24"/>
              </w:rPr>
              <w:t>行业类别</w:t>
            </w:r>
          </w:p>
        </w:tc>
        <w:tc>
          <w:tcPr>
            <w:tcW w:w="2707" w:type="dxa"/>
            <w:noWrap w:val="0"/>
            <w:vAlign w:val="center"/>
          </w:tcPr>
          <w:p>
            <w:pPr>
              <w:adjustRightInd w:val="0"/>
              <w:snapToGrid w:val="0"/>
              <w:jc w:val="center"/>
              <w:rPr>
                <w:kern w:val="0"/>
                <w:sz w:val="24"/>
              </w:rPr>
            </w:pPr>
            <w:r>
              <w:rPr>
                <w:kern w:val="0"/>
                <w:sz w:val="24"/>
              </w:rPr>
              <w:t>五十一、水利：127、</w:t>
            </w:r>
          </w:p>
          <w:p>
            <w:pPr>
              <w:adjustRightInd w:val="0"/>
              <w:snapToGrid w:val="0"/>
              <w:jc w:val="center"/>
              <w:rPr>
                <w:sz w:val="24"/>
              </w:rPr>
            </w:pPr>
            <w:r>
              <w:rPr>
                <w:sz w:val="24"/>
              </w:rPr>
              <w:t>防洪除涝工程</w:t>
            </w:r>
          </w:p>
        </w:tc>
        <w:tc>
          <w:tcPr>
            <w:tcW w:w="2461" w:type="dxa"/>
            <w:noWrap w:val="0"/>
            <w:vAlign w:val="center"/>
          </w:tcPr>
          <w:p>
            <w:pPr>
              <w:adjustRightInd w:val="0"/>
              <w:snapToGrid w:val="0"/>
              <w:jc w:val="center"/>
              <w:rPr>
                <w:sz w:val="24"/>
              </w:rPr>
            </w:pPr>
            <w:r>
              <w:rPr>
                <w:sz w:val="24"/>
              </w:rPr>
              <w:t>用地（用海）面积（hm</w:t>
            </w:r>
            <w:r>
              <w:rPr>
                <w:sz w:val="24"/>
                <w:vertAlign w:val="superscript"/>
              </w:rPr>
              <w:t>2</w:t>
            </w:r>
            <w:r>
              <w:rPr>
                <w:sz w:val="24"/>
              </w:rPr>
              <w:t>）/长度（km）</w:t>
            </w:r>
          </w:p>
        </w:tc>
        <w:tc>
          <w:tcPr>
            <w:tcW w:w="2629" w:type="dxa"/>
            <w:gridSpan w:val="2"/>
            <w:noWrap w:val="0"/>
            <w:vAlign w:val="center"/>
          </w:tcPr>
          <w:p>
            <w:pPr>
              <w:adjustRightInd w:val="0"/>
              <w:snapToGrid w:val="0"/>
              <w:jc w:val="center"/>
              <w:rPr>
                <w:sz w:val="24"/>
              </w:rPr>
            </w:pPr>
            <w:r>
              <w:rPr>
                <w:sz w:val="24"/>
              </w:rPr>
              <w:t>永久</w:t>
            </w:r>
            <w:r>
              <w:rPr>
                <w:rFonts w:hint="eastAsia"/>
                <w:sz w:val="24"/>
              </w:rPr>
              <w:t>占地1.56</w:t>
            </w:r>
            <w:r>
              <w:rPr>
                <w:sz w:val="24"/>
              </w:rPr>
              <w:t>，临时</w:t>
            </w:r>
            <w:r>
              <w:rPr>
                <w:rFonts w:hint="eastAsia"/>
                <w:sz w:val="24"/>
              </w:rPr>
              <w:t>占地0.38</w:t>
            </w:r>
            <w:r>
              <w:rPr>
                <w:sz w:val="24"/>
              </w:rPr>
              <w:t>/</w:t>
            </w:r>
            <w:r>
              <w:rPr>
                <w:rFonts w:hint="eastAsia"/>
                <w:sz w:val="24"/>
              </w:rPr>
              <w:t>0.051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134"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建设性质</w:t>
            </w:r>
          </w:p>
        </w:tc>
        <w:tc>
          <w:tcPr>
            <w:tcW w:w="2707" w:type="dxa"/>
            <w:noWrap w:val="0"/>
            <w:vAlign w:val="center"/>
          </w:tcPr>
          <w:p>
            <w:pPr>
              <w:adjustRightInd w:val="0"/>
              <w:snapToGrid w:val="0"/>
              <w:jc w:val="left"/>
              <w:rPr>
                <w:rFonts w:ascii="宋体" w:hAnsi="宋体" w:cs="宋体"/>
                <w:sz w:val="24"/>
              </w:rPr>
            </w:pPr>
            <w:r>
              <w:rPr>
                <w:rFonts w:hint="eastAsia" w:ascii="宋体" w:hAnsi="宋体" w:cs="宋体"/>
                <w:sz w:val="24"/>
              </w:rPr>
              <w:t>□新建（迁建）</w:t>
            </w:r>
          </w:p>
          <w:p>
            <w:pPr>
              <w:adjustRightInd w:val="0"/>
              <w:snapToGrid w:val="0"/>
              <w:jc w:val="left"/>
              <w:rPr>
                <w:rFonts w:ascii="宋体" w:hAnsi="宋体" w:cs="宋体"/>
                <w:sz w:val="24"/>
              </w:rPr>
            </w:pPr>
            <w:r>
              <w:rPr>
                <w:rFonts w:hint="eastAsia" w:ascii="宋体" w:hAnsi="宋体" w:cs="宋体"/>
                <w:sz w:val="24"/>
              </w:rPr>
              <w:t>□改建</w:t>
            </w:r>
          </w:p>
          <w:p>
            <w:pPr>
              <w:adjustRightInd w:val="0"/>
              <w:snapToGrid w:val="0"/>
              <w:jc w:val="left"/>
              <w:rPr>
                <w:rFonts w:ascii="宋体" w:hAnsi="宋体" w:cs="宋体"/>
                <w:sz w:val="24"/>
              </w:rPr>
            </w:pPr>
            <w:r>
              <w:rPr>
                <w:rFonts w:hint="eastAsia" w:ascii="仿宋" w:hAnsi="仿宋" w:eastAsia="仿宋" w:cs="仿宋"/>
                <w:sz w:val="24"/>
              </w:rPr>
              <w:sym w:font="Wingdings 2" w:char="0052"/>
            </w:r>
            <w:r>
              <w:rPr>
                <w:rFonts w:hint="eastAsia" w:ascii="宋体" w:hAnsi="宋体" w:cs="宋体"/>
                <w:sz w:val="24"/>
              </w:rPr>
              <w:t>扩建</w:t>
            </w:r>
          </w:p>
          <w:p>
            <w:pPr>
              <w:adjustRightInd w:val="0"/>
              <w:snapToGrid w:val="0"/>
              <w:jc w:val="left"/>
              <w:rPr>
                <w:rFonts w:ascii="宋体" w:hAnsi="宋体" w:cs="宋体"/>
                <w:sz w:val="24"/>
              </w:rPr>
            </w:pPr>
            <w:r>
              <w:rPr>
                <w:rFonts w:hint="eastAsia" w:ascii="宋体" w:hAnsi="宋体" w:cs="宋体"/>
                <w:sz w:val="24"/>
              </w:rPr>
              <w:t>□技术改造</w:t>
            </w:r>
          </w:p>
        </w:tc>
        <w:tc>
          <w:tcPr>
            <w:tcW w:w="2461" w:type="dxa"/>
            <w:noWrap w:val="0"/>
            <w:vAlign w:val="center"/>
          </w:tcPr>
          <w:p>
            <w:pPr>
              <w:adjustRightInd w:val="0"/>
              <w:snapToGrid w:val="0"/>
              <w:jc w:val="center"/>
              <w:rPr>
                <w:rFonts w:ascii="宋体" w:hAnsi="宋体" w:cs="宋体"/>
                <w:sz w:val="24"/>
              </w:rPr>
            </w:pPr>
            <w:r>
              <w:rPr>
                <w:rFonts w:hint="eastAsia" w:ascii="宋体" w:hAnsi="宋体" w:cs="宋体"/>
                <w:sz w:val="24"/>
              </w:rPr>
              <w:t>建设项目</w:t>
            </w:r>
          </w:p>
          <w:p>
            <w:pPr>
              <w:adjustRightInd w:val="0"/>
              <w:snapToGrid w:val="0"/>
              <w:jc w:val="center"/>
              <w:rPr>
                <w:rFonts w:ascii="宋体" w:hAnsi="宋体" w:cs="宋体"/>
                <w:sz w:val="24"/>
              </w:rPr>
            </w:pPr>
            <w:r>
              <w:rPr>
                <w:rFonts w:hint="eastAsia" w:ascii="宋体" w:hAnsi="宋体" w:cs="宋体"/>
                <w:sz w:val="24"/>
              </w:rPr>
              <w:t>申报情形</w:t>
            </w:r>
          </w:p>
        </w:tc>
        <w:tc>
          <w:tcPr>
            <w:tcW w:w="2629" w:type="dxa"/>
            <w:gridSpan w:val="2"/>
            <w:noWrap w:val="0"/>
            <w:vAlign w:val="center"/>
          </w:tcPr>
          <w:p>
            <w:pPr>
              <w:adjustRightInd w:val="0"/>
              <w:snapToGrid w:val="0"/>
              <w:jc w:val="left"/>
              <w:rPr>
                <w:rFonts w:ascii="宋体" w:hAnsi="宋体" w:cs="宋体"/>
                <w:sz w:val="24"/>
              </w:rPr>
            </w:pPr>
            <w:r>
              <w:rPr>
                <w:rFonts w:hint="eastAsia" w:ascii="仿宋" w:hAnsi="仿宋" w:eastAsia="仿宋" w:cs="仿宋"/>
                <w:sz w:val="24"/>
              </w:rPr>
              <w:sym w:font="Wingdings 2" w:char="0052"/>
            </w:r>
            <w:r>
              <w:rPr>
                <w:rFonts w:hint="eastAsia" w:ascii="宋体" w:hAnsi="宋体" w:cs="宋体"/>
                <w:sz w:val="24"/>
              </w:rPr>
              <w:t>首次申报项目</w:t>
            </w:r>
          </w:p>
          <w:p>
            <w:pPr>
              <w:adjustRightInd w:val="0"/>
              <w:snapToGrid w:val="0"/>
              <w:jc w:val="left"/>
              <w:rPr>
                <w:rFonts w:ascii="宋体" w:hAnsi="宋体" w:cs="宋体"/>
                <w:sz w:val="24"/>
              </w:rPr>
            </w:pPr>
            <w:r>
              <w:rPr>
                <w:rFonts w:hint="eastAsia" w:ascii="宋体" w:hAnsi="宋体" w:cs="宋体"/>
                <w:sz w:val="24"/>
              </w:rPr>
              <w:t>□不予批准后再次申报项目</w:t>
            </w:r>
          </w:p>
          <w:p>
            <w:pPr>
              <w:adjustRightInd w:val="0"/>
              <w:snapToGrid w:val="0"/>
              <w:jc w:val="left"/>
              <w:rPr>
                <w:rFonts w:ascii="宋体" w:hAnsi="宋体" w:cs="宋体"/>
                <w:sz w:val="24"/>
              </w:rPr>
            </w:pPr>
            <w:r>
              <w:rPr>
                <w:rFonts w:hint="eastAsia" w:ascii="宋体" w:hAnsi="宋体" w:cs="宋体"/>
                <w:sz w:val="24"/>
              </w:rPr>
              <w:t>□超五年重新审核项目</w:t>
            </w:r>
          </w:p>
          <w:p>
            <w:pPr>
              <w:adjustRightInd w:val="0"/>
              <w:snapToGrid w:val="0"/>
              <w:rPr>
                <w:rFonts w:ascii="宋体" w:hAnsi="宋体" w:cs="宋体"/>
                <w:sz w:val="24"/>
              </w:rPr>
            </w:pPr>
            <w:r>
              <w:rPr>
                <w:rFonts w:hint="eastAsia" w:ascii="宋体" w:hAnsi="宋体"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134"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pPr>
              <w:adjustRightInd w:val="0"/>
              <w:snapToGrid w:val="0"/>
              <w:jc w:val="center"/>
              <w:rPr>
                <w:rFonts w:ascii="宋体" w:hAnsi="宋体" w:cs="宋体"/>
                <w:sz w:val="24"/>
              </w:rPr>
            </w:pPr>
            <w:r>
              <w:rPr>
                <w:rFonts w:hint="eastAsia" w:ascii="宋体" w:hAnsi="宋体" w:cs="宋体"/>
                <w:sz w:val="24"/>
              </w:rPr>
              <w:t>备案）部门（选填）</w:t>
            </w:r>
          </w:p>
        </w:tc>
        <w:tc>
          <w:tcPr>
            <w:tcW w:w="2707" w:type="dxa"/>
            <w:noWrap w:val="0"/>
            <w:vAlign w:val="center"/>
          </w:tcPr>
          <w:p>
            <w:pPr>
              <w:adjustRightInd w:val="0"/>
              <w:snapToGrid w:val="0"/>
              <w:jc w:val="center"/>
              <w:rPr>
                <w:sz w:val="24"/>
              </w:rPr>
            </w:pPr>
            <w:r>
              <w:rPr>
                <w:rFonts w:hint="eastAsia"/>
                <w:sz w:val="24"/>
              </w:rPr>
              <w:t>绥化市水务局</w:t>
            </w:r>
          </w:p>
        </w:tc>
        <w:tc>
          <w:tcPr>
            <w:tcW w:w="2461" w:type="dxa"/>
            <w:noWrap w:val="0"/>
            <w:vAlign w:val="center"/>
          </w:tcPr>
          <w:p>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pPr>
              <w:adjustRightInd w:val="0"/>
              <w:snapToGrid w:val="0"/>
              <w:jc w:val="center"/>
              <w:rPr>
                <w:rFonts w:ascii="宋体" w:hAnsi="宋体" w:cs="宋体"/>
                <w:sz w:val="24"/>
              </w:rPr>
            </w:pPr>
            <w:r>
              <w:rPr>
                <w:rFonts w:hint="eastAsia" w:ascii="宋体" w:hAnsi="宋体" w:cs="宋体"/>
                <w:sz w:val="24"/>
              </w:rPr>
              <w:t>备案）文号（选填）</w:t>
            </w:r>
          </w:p>
        </w:tc>
        <w:tc>
          <w:tcPr>
            <w:tcW w:w="2629" w:type="dxa"/>
            <w:gridSpan w:val="2"/>
            <w:noWrap w:val="0"/>
            <w:vAlign w:val="center"/>
          </w:tcPr>
          <w:p>
            <w:pPr>
              <w:adjustRightInd w:val="0"/>
              <w:snapToGrid w:val="0"/>
              <w:jc w:val="center"/>
              <w:rPr>
                <w:sz w:val="24"/>
              </w:rPr>
            </w:pPr>
            <w:r>
              <w:rPr>
                <w:rFonts w:hint="eastAsia"/>
                <w:sz w:val="24"/>
              </w:rPr>
              <w:t>绥水发〔2024〕7号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55" w:hRule="atLeast"/>
        </w:trPr>
        <w:tc>
          <w:tcPr>
            <w:tcW w:w="1134"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总投资（万元）</w:t>
            </w:r>
          </w:p>
        </w:tc>
        <w:tc>
          <w:tcPr>
            <w:tcW w:w="2707" w:type="dxa"/>
            <w:noWrap w:val="0"/>
            <w:vAlign w:val="center"/>
          </w:tcPr>
          <w:p>
            <w:pPr>
              <w:adjustRightInd w:val="0"/>
              <w:snapToGrid w:val="0"/>
              <w:jc w:val="center"/>
              <w:rPr>
                <w:sz w:val="24"/>
              </w:rPr>
            </w:pPr>
            <w:r>
              <w:rPr>
                <w:sz w:val="24"/>
              </w:rPr>
              <w:t>1215.12</w:t>
            </w:r>
          </w:p>
        </w:tc>
        <w:tc>
          <w:tcPr>
            <w:tcW w:w="2461"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环保投资（万元）</w:t>
            </w:r>
          </w:p>
        </w:tc>
        <w:tc>
          <w:tcPr>
            <w:tcW w:w="2629" w:type="dxa"/>
            <w:gridSpan w:val="2"/>
            <w:noWrap w:val="0"/>
            <w:vAlign w:val="center"/>
          </w:tcPr>
          <w:p>
            <w:pPr>
              <w:adjustRightInd w:val="0"/>
              <w:snapToGrid w:val="0"/>
              <w:jc w:val="center"/>
              <w:rPr>
                <w:sz w:val="24"/>
              </w:rPr>
            </w:pPr>
            <w:r>
              <w:rPr>
                <w:rFonts w:hint="eastAsia"/>
                <w:sz w:val="24"/>
              </w:rPr>
              <w:t>49.65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134"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环保投资占比（</w:t>
            </w:r>
            <w:r>
              <w:rPr>
                <w:rFonts w:ascii="宋体" w:hAnsi="宋体" w:cs="宋体"/>
                <w:sz w:val="24"/>
              </w:rPr>
              <w:t>%</w:t>
            </w:r>
            <w:r>
              <w:rPr>
                <w:rFonts w:hint="eastAsia" w:ascii="宋体" w:hAnsi="宋体" w:cs="宋体"/>
                <w:sz w:val="24"/>
              </w:rPr>
              <w:t>）</w:t>
            </w:r>
          </w:p>
        </w:tc>
        <w:tc>
          <w:tcPr>
            <w:tcW w:w="2707" w:type="dxa"/>
            <w:noWrap w:val="0"/>
            <w:vAlign w:val="center"/>
          </w:tcPr>
          <w:p>
            <w:pPr>
              <w:adjustRightInd w:val="0"/>
              <w:snapToGrid w:val="0"/>
              <w:jc w:val="center"/>
              <w:rPr>
                <w:sz w:val="24"/>
              </w:rPr>
            </w:pPr>
            <w:r>
              <w:rPr>
                <w:rFonts w:hint="eastAsia"/>
                <w:sz w:val="24"/>
              </w:rPr>
              <w:t>4.09</w:t>
            </w:r>
          </w:p>
        </w:tc>
        <w:tc>
          <w:tcPr>
            <w:tcW w:w="2461"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施工工期</w:t>
            </w:r>
          </w:p>
        </w:tc>
        <w:tc>
          <w:tcPr>
            <w:tcW w:w="2629" w:type="dxa"/>
            <w:gridSpan w:val="2"/>
            <w:noWrap w:val="0"/>
            <w:vAlign w:val="center"/>
          </w:tcPr>
          <w:p>
            <w:pPr>
              <w:adjustRightInd w:val="0"/>
              <w:snapToGrid w:val="0"/>
              <w:jc w:val="center"/>
              <w:rPr>
                <w:rFonts w:hint="eastAsia"/>
                <w:sz w:val="24"/>
              </w:rPr>
            </w:pPr>
            <w:r>
              <w:rPr>
                <w:rFonts w:hint="eastAsia"/>
                <w:sz w:val="24"/>
              </w:rPr>
              <w:t>6个月</w:t>
            </w:r>
          </w:p>
          <w:p>
            <w:pPr>
              <w:adjustRightInd w:val="0"/>
              <w:snapToGrid w:val="0"/>
              <w:jc w:val="center"/>
              <w:rPr>
                <w:szCs w:val="21"/>
              </w:rPr>
            </w:pPr>
            <w:r>
              <w:rPr>
                <w:rFonts w:hint="eastAsia"/>
                <w:sz w:val="24"/>
              </w:rPr>
              <w:t>（预计2024年6月开工）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34" w:type="dxa"/>
            <w:noWrap w:val="0"/>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是否开工建设</w:t>
            </w:r>
          </w:p>
        </w:tc>
        <w:tc>
          <w:tcPr>
            <w:tcW w:w="7797" w:type="dxa"/>
            <w:gridSpan w:val="4"/>
            <w:noWrap w:val="0"/>
            <w:vAlign w:val="center"/>
          </w:tcPr>
          <w:p>
            <w:pPr>
              <w:adjustRightInd w:val="0"/>
              <w:snapToGrid w:val="0"/>
              <w:ind w:firstLine="105"/>
              <w:jc w:val="left"/>
              <w:rPr>
                <w:rFonts w:ascii="宋体" w:hAnsi="宋体" w:cs="宋体"/>
                <w:sz w:val="24"/>
              </w:rPr>
            </w:pPr>
            <w:r>
              <w:rPr>
                <w:rFonts w:hint="eastAsia" w:ascii="仿宋" w:hAnsi="仿宋" w:eastAsia="仿宋" w:cs="仿宋"/>
                <w:sz w:val="24"/>
              </w:rPr>
              <w:sym w:font="Wingdings 2" w:char="0052"/>
            </w:r>
            <w:r>
              <w:rPr>
                <w:rFonts w:hint="eastAsia" w:ascii="宋体" w:hAnsi="宋体" w:cs="宋体"/>
                <w:sz w:val="24"/>
              </w:rPr>
              <w:t>否</w:t>
            </w:r>
          </w:p>
          <w:p>
            <w:pPr>
              <w:adjustRightInd w:val="0"/>
              <w:snapToGrid w:val="0"/>
              <w:ind w:firstLine="92"/>
              <w:jc w:val="left"/>
              <w:rPr>
                <w:rFonts w:ascii="宋体" w:hAnsi="宋体" w:cs="宋体"/>
                <w:sz w:val="24"/>
              </w:rPr>
            </w:pPr>
            <w:r>
              <w:rPr>
                <w:rFonts w:hint="eastAsia" w:ascii="宋体" w:hAnsi="宋体" w:cs="宋体"/>
                <w:sz w:val="24"/>
              </w:rPr>
              <w:t>□是：</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34" w:type="dxa"/>
            <w:noWrap w:val="0"/>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7797" w:type="dxa"/>
            <w:gridSpan w:val="4"/>
            <w:noWrap w:val="0"/>
            <w:tcMar>
              <w:top w:w="16" w:type="dxa"/>
              <w:left w:w="16" w:type="dxa"/>
              <w:right w:w="16" w:type="dxa"/>
            </w:tcMar>
            <w:vAlign w:val="center"/>
          </w:tcPr>
          <w:p>
            <w:pPr>
              <w:autoSpaceDE w:val="0"/>
              <w:autoSpaceDN w:val="0"/>
              <w:adjustRightInd w:val="0"/>
              <w:snapToGrid w:val="0"/>
              <w:spacing w:line="360" w:lineRule="auto"/>
              <w:ind w:firstLine="480" w:firstLineChars="200"/>
              <w:rPr>
                <w:rFonts w:hint="eastAsia" w:ascii="宋体" w:hAnsi="宋体" w:cs="宋体"/>
                <w:kern w:val="0"/>
                <w:sz w:val="24"/>
              </w:rPr>
            </w:pPr>
            <w:r>
              <w:rPr>
                <w:rFonts w:hint="eastAsia" w:ascii="宋体" w:hAnsi="宋体" w:cs="宋体"/>
                <w:kern w:val="0"/>
                <w:sz w:val="24"/>
              </w:rPr>
              <w:t>无。工程建设范围及附近不涉及国家公园、自然保护区、风景名胜区、饮用水水源保护区、森林公园、地质公园、重要湿地等环境敏感区，也不涉及生态保护红线。</w:t>
            </w:r>
          </w:p>
          <w:p>
            <w:pPr>
              <w:autoSpaceDE w:val="0"/>
              <w:autoSpaceDN w:val="0"/>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另外，根据《建设项目环境影响报告表编制技术指南》（生态影响类）（试行）中规定：涉及环境敏感区应进行生态专项评价，“涉及环境敏感区”是指建设项目位于、穿（跨）越（无害化通过的除外）环境敏感区，或环境影响范围涵盖环境敏感区。环境敏感区是指《建设项目环境影响评价分类管理名录》中针对该类项目所列的敏感区。本工程行业类别为五十一、水利：127、防洪除涝工程，在《建设项目环境影响评价分类管理名录》中未列出环境敏感区，因此本工程无需进行生态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34" w:type="dxa"/>
            <w:noWrap w:val="0"/>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ascii="宋体" w:hAnsi="宋体" w:cs="宋体"/>
                <w:sz w:val="24"/>
              </w:rPr>
              <w:t>规划情况</w:t>
            </w:r>
          </w:p>
        </w:tc>
        <w:tc>
          <w:tcPr>
            <w:tcW w:w="7797" w:type="dxa"/>
            <w:gridSpan w:val="4"/>
            <w:noWrap w:val="0"/>
            <w:tcMar>
              <w:top w:w="16" w:type="dxa"/>
              <w:left w:w="16" w:type="dxa"/>
              <w:right w:w="16" w:type="dxa"/>
            </w:tcMar>
            <w:vAlign w:val="center"/>
          </w:tcPr>
          <w:p>
            <w:pPr>
              <w:spacing w:line="360" w:lineRule="auto"/>
              <w:ind w:firstLine="480" w:firstLineChars="200"/>
              <w:outlineLvl w:val="3"/>
            </w:pPr>
            <w:r>
              <w:rPr>
                <w:rFonts w:hint="eastAsia"/>
                <w:bCs/>
                <w:kern w:val="0"/>
                <w:sz w:val="24"/>
                <w:szCs w:val="20"/>
              </w:rPr>
              <w:t>2012年由水利部松辽水利委员会编制完成了《松花江流域综合规划（2012—2030年）》，中华人民共和国国务院2013年3月2日以国函〔2013〕38号对《松花江流域综合规划（2012—2030年）》进行了批复。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60" w:hRule="atLeast"/>
        </w:trPr>
        <w:tc>
          <w:tcPr>
            <w:tcW w:w="1134" w:type="dxa"/>
            <w:noWrap w:val="0"/>
            <w:tcMar>
              <w:top w:w="16" w:type="dxa"/>
              <w:left w:w="16" w:type="dxa"/>
              <w:right w:w="16" w:type="dxa"/>
            </w:tcMar>
            <w:vAlign w:val="center"/>
          </w:tcPr>
          <w:p>
            <w:pPr>
              <w:autoSpaceDE w:val="0"/>
              <w:autoSpaceDN w:val="0"/>
              <w:adjustRightInd w:val="0"/>
              <w:snapToGrid w:val="0"/>
              <w:jc w:val="center"/>
              <w:rPr>
                <w:rFonts w:ascii="宋体" w:hAnsi="宋体" w:cs="宋体"/>
                <w:sz w:val="24"/>
              </w:rPr>
            </w:pPr>
            <w:r>
              <w:rPr>
                <w:rFonts w:hint="eastAsia" w:ascii="宋体" w:hAnsi="宋体" w:cs="宋体"/>
                <w:sz w:val="24"/>
              </w:rPr>
              <w:t>规划环境影响</w:t>
            </w:r>
          </w:p>
          <w:p>
            <w:pPr>
              <w:autoSpaceDE w:val="0"/>
              <w:autoSpaceDN w:val="0"/>
              <w:adjustRightInd w:val="0"/>
              <w:snapToGrid w:val="0"/>
              <w:jc w:val="center"/>
              <w:rPr>
                <w:rFonts w:ascii="宋体" w:hAnsi="宋体" w:cs="宋体"/>
                <w:kern w:val="0"/>
                <w:sz w:val="24"/>
              </w:rPr>
            </w:pPr>
            <w:r>
              <w:rPr>
                <w:rFonts w:hint="eastAsia" w:ascii="宋体" w:hAnsi="宋体" w:cs="宋体"/>
                <w:sz w:val="24"/>
              </w:rPr>
              <w:t>评价情况</w:t>
            </w:r>
          </w:p>
        </w:tc>
        <w:tc>
          <w:tcPr>
            <w:tcW w:w="7797" w:type="dxa"/>
            <w:gridSpan w:val="4"/>
            <w:noWrap w:val="0"/>
            <w:tcMar>
              <w:top w:w="16" w:type="dxa"/>
              <w:left w:w="16" w:type="dxa"/>
              <w:right w:w="16" w:type="dxa"/>
            </w:tcMar>
            <w:vAlign w:val="center"/>
          </w:tcPr>
          <w:p>
            <w:pPr>
              <w:spacing w:line="360" w:lineRule="auto"/>
              <w:ind w:firstLine="480" w:firstLineChars="200"/>
              <w:outlineLvl w:val="3"/>
            </w:pPr>
            <w:r>
              <w:rPr>
                <w:rFonts w:hint="eastAsia"/>
                <w:bCs/>
                <w:kern w:val="0"/>
                <w:sz w:val="24"/>
                <w:szCs w:val="20"/>
              </w:rPr>
              <w:t>《松花江流域综合规划（2012—2030年）》中设置了环境影响评价篇章，对规划工程开展了环境影响评价。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72" w:hRule="atLeast"/>
        </w:trPr>
        <w:tc>
          <w:tcPr>
            <w:tcW w:w="1134" w:type="dxa"/>
            <w:noWrap w:val="0"/>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规划及</w:t>
            </w:r>
            <w:r>
              <w:rPr>
                <w:rFonts w:hint="eastAsia" w:ascii="宋体" w:hAnsi="宋体" w:cs="宋体"/>
                <w:sz w:val="24"/>
              </w:rPr>
              <w:t>规划环境影响评价</w:t>
            </w:r>
            <w:r>
              <w:rPr>
                <w:rFonts w:hint="eastAsia" w:ascii="宋体" w:hAnsi="宋体" w:cs="宋体"/>
                <w:kern w:val="0"/>
                <w:sz w:val="24"/>
              </w:rPr>
              <w:t>符合性分析</w:t>
            </w:r>
          </w:p>
        </w:tc>
        <w:tc>
          <w:tcPr>
            <w:tcW w:w="7797" w:type="dxa"/>
            <w:gridSpan w:val="4"/>
            <w:noWrap w:val="0"/>
            <w:tcMar>
              <w:top w:w="16" w:type="dxa"/>
              <w:left w:w="16" w:type="dxa"/>
              <w:right w:w="16" w:type="dxa"/>
            </w:tcMar>
            <w:vAlign w:val="center"/>
          </w:tcPr>
          <w:p>
            <w:pPr>
              <w:spacing w:line="360" w:lineRule="auto"/>
              <w:ind w:firstLine="480" w:firstLineChars="200"/>
              <w:outlineLvl w:val="3"/>
              <w:rPr>
                <w:rFonts w:hint="eastAsia"/>
                <w:bCs/>
                <w:sz w:val="24"/>
              </w:rPr>
            </w:pPr>
            <w:r>
              <w:rPr>
                <w:rFonts w:hint="eastAsia"/>
                <w:bCs/>
                <w:sz w:val="24"/>
              </w:rPr>
              <w:t>（1）与规划符合性分析</w:t>
            </w:r>
          </w:p>
          <w:p>
            <w:pPr>
              <w:spacing w:line="360" w:lineRule="auto"/>
              <w:ind w:firstLine="480" w:firstLineChars="200"/>
              <w:outlineLvl w:val="3"/>
              <w:rPr>
                <w:rFonts w:hint="eastAsia"/>
                <w:bCs/>
                <w:kern w:val="0"/>
                <w:sz w:val="24"/>
                <w:szCs w:val="20"/>
              </w:rPr>
            </w:pPr>
            <w:r>
              <w:rPr>
                <w:rFonts w:hint="eastAsia"/>
                <w:bCs/>
                <w:sz w:val="24"/>
              </w:rPr>
              <w:t>《松花江流域综合规划（2012—2030年）》</w:t>
            </w:r>
            <w:r>
              <w:rPr>
                <w:rFonts w:hint="eastAsia"/>
                <w:bCs/>
                <w:kern w:val="0"/>
                <w:sz w:val="24"/>
                <w:szCs w:val="20"/>
              </w:rPr>
              <w:t>中明确提出“加快对灌区渠首及渠系建筑物进行补强加固和维修改造，提高工程安全性能”。</w:t>
            </w:r>
          </w:p>
          <w:p>
            <w:pPr>
              <w:spacing w:line="360" w:lineRule="auto"/>
              <w:ind w:firstLine="480" w:firstLineChars="200"/>
              <w:outlineLvl w:val="3"/>
              <w:rPr>
                <w:rFonts w:hint="eastAsia"/>
                <w:bCs/>
                <w:sz w:val="24"/>
              </w:rPr>
            </w:pPr>
            <w:r>
              <w:rPr>
                <w:rFonts w:hint="eastAsia"/>
                <w:bCs/>
                <w:kern w:val="0"/>
                <w:sz w:val="24"/>
                <w:szCs w:val="20"/>
              </w:rPr>
              <w:t>永安灌区渠首枢纽控制流域面积广，控制年径流量较大，承担的防洪压力较大。对保护下游农民和耕地，减轻下游及周围村屯的洪涝灾害，保证周边土地的防洪安全十分重要。永安灌区渠首枢纽泄洪闸为永安灌区渠首枢纽工程的主要组成部分，本次为现有泄洪闸除险加固工程，通过本次除险加固，保证泄洪能力，减轻防洪压力。</w:t>
            </w:r>
            <w:r>
              <w:rPr>
                <w:rFonts w:hint="eastAsia"/>
                <w:bCs/>
                <w:sz w:val="24"/>
              </w:rPr>
              <w:t>因此本次泄洪闸除险加固工程符合《松花江流域综合规划（2012—2030年）》。</w:t>
            </w:r>
          </w:p>
          <w:p>
            <w:pPr>
              <w:spacing w:line="360" w:lineRule="auto"/>
              <w:ind w:firstLine="480" w:firstLineChars="200"/>
              <w:outlineLvl w:val="3"/>
              <w:rPr>
                <w:rFonts w:hint="eastAsia"/>
                <w:bCs/>
                <w:sz w:val="24"/>
              </w:rPr>
            </w:pPr>
            <w:r>
              <w:rPr>
                <w:rFonts w:hint="eastAsia"/>
                <w:bCs/>
                <w:sz w:val="24"/>
              </w:rPr>
              <w:t>（2）规划环境影响评价符合性</w:t>
            </w:r>
          </w:p>
          <w:p>
            <w:pPr>
              <w:spacing w:line="360" w:lineRule="auto"/>
              <w:ind w:firstLine="480" w:firstLineChars="200"/>
              <w:outlineLvl w:val="3"/>
              <w:rPr>
                <w:rFonts w:hint="eastAsia"/>
                <w:bCs/>
                <w:sz w:val="24"/>
              </w:rPr>
            </w:pPr>
            <w:r>
              <w:rPr>
                <w:rFonts w:hint="eastAsia"/>
                <w:bCs/>
                <w:sz w:val="24"/>
              </w:rPr>
              <w:t>《松花江流域综合规划（2012—2030年）》环境影响评价章节中指出：应尽量减少永久占地和临时占地对植被破坏，采取各项水土保持、生态恢复措施，减缓对区域生态环境影响。加强野生动植物保护法规、条例以及有关林业法规的宣传和执行，严禁捕杀野生动物、滥砍滥伐。</w:t>
            </w:r>
          </w:p>
          <w:p>
            <w:pPr>
              <w:spacing w:line="360" w:lineRule="auto"/>
              <w:ind w:firstLine="480" w:firstLineChars="200"/>
              <w:outlineLvl w:val="3"/>
              <w:rPr>
                <w:rFonts w:hint="eastAsia"/>
                <w:bCs/>
                <w:sz w:val="24"/>
              </w:rPr>
            </w:pPr>
            <w:r>
              <w:rPr>
                <w:rFonts w:hint="eastAsia"/>
                <w:bCs/>
                <w:sz w:val="24"/>
              </w:rPr>
              <w:t>本次评价对规划中提出的要求作为重点进行评价，由于属已有工程除险加固，不存在选址方案比选，目前工程实施所在位置避让了自然保护区、生态保护红线等环境敏感区；永久占地充分利用原有工程占地（水域及水利设施用地占比约为96.14%），且均在已确权土地范围内实施，未新征永久占地；临时占地中施工区及生活区优先避让了自然植被，临时占地类型为旱地和其他草地。本次评价提出施工前表土剥离，施工结束后对占用的耕地部分进行土地复垦仍恢复为耕地，对占用的其他草地部分通过植被恢复为草地。</w:t>
            </w:r>
          </w:p>
          <w:p>
            <w:pPr>
              <w:spacing w:line="360" w:lineRule="auto"/>
              <w:ind w:firstLine="480" w:firstLineChars="200"/>
              <w:outlineLvl w:val="3"/>
            </w:pPr>
            <w:r>
              <w:rPr>
                <w:rFonts w:hint="eastAsia"/>
                <w:bCs/>
                <w:sz w:val="24"/>
              </w:rPr>
              <w:t>因此，泄洪闸除险加固工程符合《松花江流域综合规划（2012—2030年）》环境影响评价的要求。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32" w:hRule="atLeast"/>
        </w:trPr>
        <w:tc>
          <w:tcPr>
            <w:tcW w:w="1134" w:type="dxa"/>
            <w:noWrap w:val="0"/>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bookmarkStart w:id="11" w:name="_Hlk56690880"/>
            <w:r>
              <w:rPr>
                <w:rFonts w:hint="eastAsia" w:ascii="宋体" w:hAnsi="宋体" w:cs="宋体"/>
                <w:kern w:val="0"/>
                <w:sz w:val="24"/>
              </w:rPr>
              <w:t>其他符合性分析</w:t>
            </w:r>
            <w:bookmarkEnd w:id="11"/>
          </w:p>
        </w:tc>
        <w:tc>
          <w:tcPr>
            <w:tcW w:w="7797" w:type="dxa"/>
            <w:gridSpan w:val="4"/>
            <w:noWrap w:val="0"/>
            <w:tcMar>
              <w:top w:w="16" w:type="dxa"/>
              <w:left w:w="16" w:type="dxa"/>
              <w:right w:w="16" w:type="dxa"/>
            </w:tcMar>
            <w:vAlign w:val="center"/>
          </w:tcPr>
          <w:p>
            <w:pPr>
              <w:widowControl/>
              <w:spacing w:line="360" w:lineRule="auto"/>
              <w:jc w:val="left"/>
              <w:rPr>
                <w:b/>
                <w:sz w:val="24"/>
              </w:rPr>
            </w:pPr>
            <w:bookmarkStart w:id="12" w:name="_Toc47619687"/>
            <w:r>
              <w:rPr>
                <w:rFonts w:hint="eastAsia"/>
                <w:b/>
                <w:sz w:val="24"/>
              </w:rPr>
              <w:t>1、与“三线一单”符合性分析</w:t>
            </w:r>
            <w:bookmarkEnd w:id="12"/>
          </w:p>
          <w:p>
            <w:pPr>
              <w:widowControl/>
              <w:spacing w:line="360" w:lineRule="auto"/>
              <w:ind w:firstLine="480" w:firstLineChars="200"/>
              <w:jc w:val="left"/>
              <w:rPr>
                <w:rFonts w:hint="eastAsia"/>
                <w:sz w:val="24"/>
              </w:rPr>
            </w:pPr>
            <w:r>
              <w:rPr>
                <w:rFonts w:hint="eastAsia"/>
                <w:sz w:val="24"/>
              </w:rPr>
              <w:t>本</w:t>
            </w:r>
            <w:r>
              <w:rPr>
                <w:sz w:val="24"/>
              </w:rPr>
              <w:t>项目</w:t>
            </w:r>
            <w:r>
              <w:rPr>
                <w:rFonts w:hint="eastAsia"/>
                <w:sz w:val="24"/>
              </w:rPr>
              <w:t>属已有泄洪闸除险加固工程，不涉及</w:t>
            </w:r>
            <w:r>
              <w:rPr>
                <w:sz w:val="24"/>
              </w:rPr>
              <w:t>生态保护红线，环境质量底线</w:t>
            </w:r>
            <w:r>
              <w:rPr>
                <w:rFonts w:hint="eastAsia"/>
                <w:sz w:val="24"/>
              </w:rPr>
              <w:t>水环境为一般管控区，大气环境为重点管控区</w:t>
            </w:r>
            <w:r>
              <w:rPr>
                <w:sz w:val="24"/>
              </w:rPr>
              <w:t>。根据</w:t>
            </w:r>
            <w:r>
              <w:rPr>
                <w:rFonts w:hint="eastAsia"/>
                <w:sz w:val="24"/>
              </w:rPr>
              <w:t>《绥化市人民政府关于实施“三线一单”生态环境分区管控的意见》（绥政发〔2021〕10号）和《关于发布绥化市生态环境准入清单（2023年版）的函》</w:t>
            </w:r>
            <w:r>
              <w:rPr>
                <w:sz w:val="24"/>
              </w:rPr>
              <w:t>，结合本项目特点和区域环境及环境质量现状进行调查的基础上，本项目与</w:t>
            </w:r>
            <w:r>
              <w:rPr>
                <w:rFonts w:hint="eastAsia"/>
                <w:sz w:val="24"/>
              </w:rPr>
              <w:t>“</w:t>
            </w:r>
            <w:r>
              <w:rPr>
                <w:sz w:val="24"/>
              </w:rPr>
              <w:t>三线一单</w:t>
            </w:r>
            <w:r>
              <w:rPr>
                <w:rFonts w:hint="eastAsia"/>
                <w:sz w:val="24"/>
              </w:rPr>
              <w:t>”</w:t>
            </w:r>
            <w:r>
              <w:rPr>
                <w:sz w:val="24"/>
              </w:rPr>
              <w:t>符合性具体如下：水环境质量底线分析详见表1.</w:t>
            </w:r>
            <w:r>
              <w:rPr>
                <w:rFonts w:hint="eastAsia"/>
                <w:sz w:val="24"/>
              </w:rPr>
              <w:t>1</w:t>
            </w:r>
            <w:r>
              <w:rPr>
                <w:sz w:val="24"/>
              </w:rPr>
              <w:t>-</w:t>
            </w:r>
            <w:r>
              <w:rPr>
                <w:rFonts w:hint="eastAsia"/>
                <w:sz w:val="24"/>
              </w:rPr>
              <w:t>1</w:t>
            </w:r>
            <w:r>
              <w:rPr>
                <w:sz w:val="24"/>
              </w:rPr>
              <w:t>，大气环境质量底线分析详见表1.</w:t>
            </w:r>
            <w:r>
              <w:rPr>
                <w:rFonts w:hint="eastAsia"/>
                <w:sz w:val="24"/>
              </w:rPr>
              <w:t>1</w:t>
            </w:r>
            <w:r>
              <w:rPr>
                <w:sz w:val="24"/>
              </w:rPr>
              <w:t>-</w:t>
            </w:r>
            <w:r>
              <w:rPr>
                <w:rFonts w:hint="eastAsia"/>
                <w:sz w:val="24"/>
              </w:rPr>
              <w:t>2</w:t>
            </w:r>
            <w:r>
              <w:rPr>
                <w:sz w:val="24"/>
              </w:rPr>
              <w:t>，项目在</w:t>
            </w:r>
            <w:r>
              <w:rPr>
                <w:rFonts w:hint="eastAsia"/>
                <w:sz w:val="24"/>
              </w:rPr>
              <w:t>绥化市环境管控单元</w:t>
            </w:r>
            <w:r>
              <w:rPr>
                <w:sz w:val="24"/>
              </w:rPr>
              <w:t>位置详见图1-</w:t>
            </w:r>
            <w:r>
              <w:rPr>
                <w:rFonts w:hint="eastAsia"/>
                <w:sz w:val="24"/>
              </w:rPr>
              <w:t>1</w:t>
            </w:r>
            <w:r>
              <w:rPr>
                <w:sz w:val="24"/>
              </w:rPr>
              <w:t>。</w:t>
            </w:r>
          </w:p>
          <w:p>
            <w:pPr>
              <w:widowControl/>
              <w:spacing w:line="360" w:lineRule="auto"/>
              <w:jc w:val="left"/>
              <w:rPr>
                <w:rFonts w:hint="eastAsia"/>
                <w:b/>
                <w:sz w:val="24"/>
              </w:rPr>
            </w:pPr>
            <w:r>
              <w:rPr>
                <w:rFonts w:hint="eastAsia"/>
                <w:b/>
                <w:sz w:val="24"/>
              </w:rPr>
              <w:t>1.1生态保护红线</w:t>
            </w:r>
          </w:p>
          <w:p>
            <w:pPr>
              <w:widowControl/>
              <w:spacing w:line="360" w:lineRule="auto"/>
              <w:ind w:firstLine="480" w:firstLineChars="200"/>
              <w:jc w:val="left"/>
              <w:rPr>
                <w:rFonts w:hint="eastAsia"/>
              </w:rPr>
            </w:pPr>
            <w:r>
              <w:rPr>
                <w:rFonts w:hint="eastAsia"/>
                <w:sz w:val="24"/>
              </w:rPr>
              <w:t>本项目不涉及生态保护红线。</w:t>
            </w:r>
          </w:p>
          <w:p>
            <w:pPr>
              <w:widowControl/>
              <w:spacing w:line="360" w:lineRule="auto"/>
              <w:jc w:val="left"/>
              <w:rPr>
                <w:rFonts w:hint="eastAsia"/>
                <w:b/>
                <w:sz w:val="24"/>
              </w:rPr>
            </w:pPr>
            <w:r>
              <w:rPr>
                <w:rFonts w:hint="eastAsia"/>
                <w:b/>
                <w:sz w:val="24"/>
              </w:rPr>
              <w:t>1.2环境质量底线</w:t>
            </w:r>
          </w:p>
          <w:p>
            <w:pPr>
              <w:widowControl/>
              <w:jc w:val="left"/>
              <w:rPr>
                <w:rFonts w:hint="eastAsia"/>
                <w:kern w:val="0"/>
                <w:sz w:val="24"/>
              </w:rPr>
            </w:pPr>
            <w:r>
              <w:rPr>
                <w:rFonts w:hint="eastAsia"/>
                <w:kern w:val="0"/>
                <w:sz w:val="24"/>
              </w:rPr>
              <w:t>（1）水环境</w:t>
            </w:r>
          </w:p>
          <w:p>
            <w:pPr>
              <w:widowControl/>
              <w:spacing w:line="276" w:lineRule="auto"/>
              <w:jc w:val="center"/>
              <w:rPr>
                <w:rFonts w:hint="eastAsia"/>
                <w:b/>
                <w:sz w:val="24"/>
              </w:rPr>
            </w:pPr>
            <w:r>
              <w:rPr>
                <w:b/>
                <w:sz w:val="24"/>
              </w:rPr>
              <w:t>表1.</w:t>
            </w:r>
            <w:r>
              <w:rPr>
                <w:rFonts w:hint="eastAsia"/>
                <w:b/>
                <w:sz w:val="24"/>
              </w:rPr>
              <w:t>1</w:t>
            </w:r>
            <w:r>
              <w:rPr>
                <w:b/>
                <w:sz w:val="24"/>
              </w:rPr>
              <w:t>-</w:t>
            </w:r>
            <w:r>
              <w:rPr>
                <w:rFonts w:hint="eastAsia"/>
                <w:b/>
                <w:sz w:val="24"/>
              </w:rPr>
              <w:t xml:space="preserve">1 </w:t>
            </w:r>
            <w:r>
              <w:rPr>
                <w:b/>
                <w:sz w:val="24"/>
              </w:rPr>
              <w:t>水环境分区管控要求符合性分析</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579"/>
              <w:gridCol w:w="5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restart"/>
                  <w:noWrap w:val="0"/>
                  <w:vAlign w:val="center"/>
                </w:tcPr>
                <w:p>
                  <w:pPr>
                    <w:jc w:val="center"/>
                    <w:rPr>
                      <w:szCs w:val="21"/>
                    </w:rPr>
                  </w:pPr>
                  <w:r>
                    <w:rPr>
                      <w:szCs w:val="21"/>
                    </w:rPr>
                    <w:t>环境要素分区管控</w:t>
                  </w:r>
                </w:p>
              </w:tc>
              <w:tc>
                <w:tcPr>
                  <w:tcW w:w="1018" w:type="pct"/>
                  <w:noWrap w:val="0"/>
                  <w:vAlign w:val="center"/>
                </w:tcPr>
                <w:p>
                  <w:pPr>
                    <w:jc w:val="center"/>
                    <w:rPr>
                      <w:szCs w:val="21"/>
                    </w:rPr>
                  </w:pPr>
                  <w:r>
                    <w:rPr>
                      <w:szCs w:val="21"/>
                    </w:rPr>
                    <w:t>管控区分类</w:t>
                  </w:r>
                </w:p>
              </w:tc>
              <w:tc>
                <w:tcPr>
                  <w:tcW w:w="3489" w:type="pct"/>
                  <w:noWrap w:val="0"/>
                  <w:vAlign w:val="center"/>
                </w:tcPr>
                <w:p>
                  <w:pPr>
                    <w:jc w:val="center"/>
                    <w:rPr>
                      <w:szCs w:val="21"/>
                    </w:rPr>
                  </w:pPr>
                  <w:r>
                    <w:rPr>
                      <w:rFonts w:hint="eastAsia"/>
                      <w:szCs w:val="21"/>
                    </w:rPr>
                    <w:t>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noWrap w:val="0"/>
                  <w:vAlign w:val="center"/>
                </w:tcPr>
                <w:p>
                  <w:pPr>
                    <w:jc w:val="center"/>
                    <w:rPr>
                      <w:szCs w:val="21"/>
                    </w:rPr>
                  </w:pPr>
                </w:p>
              </w:tc>
              <w:tc>
                <w:tcPr>
                  <w:tcW w:w="1018" w:type="pct"/>
                  <w:noWrap w:val="0"/>
                  <w:vAlign w:val="center"/>
                </w:tcPr>
                <w:p>
                  <w:pPr>
                    <w:jc w:val="center"/>
                    <w:rPr>
                      <w:szCs w:val="21"/>
                    </w:rPr>
                  </w:pPr>
                  <w:r>
                    <w:rPr>
                      <w:szCs w:val="21"/>
                    </w:rPr>
                    <w:t>环境要素</w:t>
                  </w:r>
                </w:p>
              </w:tc>
              <w:tc>
                <w:tcPr>
                  <w:tcW w:w="3489" w:type="pct"/>
                  <w:noWrap w:val="0"/>
                  <w:vAlign w:val="center"/>
                </w:tcPr>
                <w:p>
                  <w:pPr>
                    <w:jc w:val="center"/>
                    <w:rPr>
                      <w:szCs w:val="21"/>
                    </w:rPr>
                  </w:pPr>
                  <w:r>
                    <w:rPr>
                      <w:szCs w:val="21"/>
                    </w:rPr>
                    <w:t>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noWrap w:val="0"/>
                  <w:vAlign w:val="center"/>
                </w:tcPr>
                <w:p>
                  <w:pPr>
                    <w:jc w:val="center"/>
                    <w:rPr>
                      <w:szCs w:val="21"/>
                    </w:rPr>
                  </w:pPr>
                </w:p>
              </w:tc>
              <w:tc>
                <w:tcPr>
                  <w:tcW w:w="1018" w:type="pct"/>
                  <w:noWrap w:val="0"/>
                  <w:vAlign w:val="center"/>
                </w:tcPr>
                <w:p>
                  <w:pPr>
                    <w:jc w:val="center"/>
                    <w:rPr>
                      <w:szCs w:val="21"/>
                    </w:rPr>
                  </w:pPr>
                  <w:r>
                    <w:rPr>
                      <w:szCs w:val="21"/>
                    </w:rPr>
                    <w:t>要素细类</w:t>
                  </w:r>
                </w:p>
              </w:tc>
              <w:tc>
                <w:tcPr>
                  <w:tcW w:w="3489" w:type="pct"/>
                  <w:noWrap w:val="0"/>
                  <w:vAlign w:val="center"/>
                </w:tcPr>
                <w:p>
                  <w:pPr>
                    <w:jc w:val="center"/>
                    <w:rPr>
                      <w:szCs w:val="21"/>
                    </w:rPr>
                  </w:pPr>
                  <w:r>
                    <w:rPr>
                      <w:rFonts w:hint="eastAsia"/>
                      <w:szCs w:val="21"/>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restart"/>
                  <w:noWrap w:val="0"/>
                  <w:vAlign w:val="center"/>
                </w:tcPr>
                <w:p>
                  <w:pPr>
                    <w:spacing w:line="360" w:lineRule="auto"/>
                    <w:rPr>
                      <w:szCs w:val="21"/>
                    </w:rPr>
                  </w:pPr>
                  <w:r>
                    <w:rPr>
                      <w:szCs w:val="21"/>
                    </w:rPr>
                    <w:t>管控要求</w:t>
                  </w:r>
                </w:p>
              </w:tc>
              <w:tc>
                <w:tcPr>
                  <w:tcW w:w="1018" w:type="pct"/>
                  <w:noWrap w:val="0"/>
                  <w:vAlign w:val="center"/>
                </w:tcPr>
                <w:p>
                  <w:pPr>
                    <w:spacing w:line="360" w:lineRule="auto"/>
                    <w:rPr>
                      <w:szCs w:val="21"/>
                    </w:rPr>
                  </w:pPr>
                  <w:r>
                    <w:rPr>
                      <w:szCs w:val="21"/>
                    </w:rPr>
                    <w:t>空间布局约束</w:t>
                  </w:r>
                </w:p>
              </w:tc>
              <w:tc>
                <w:tcPr>
                  <w:tcW w:w="3489" w:type="pct"/>
                  <w:noWrap w:val="0"/>
                  <w:vAlign w:val="center"/>
                </w:tcPr>
                <w:p>
                  <w:pPr>
                    <w:pStyle w:val="24"/>
                    <w:jc w:val="center"/>
                    <w:rPr>
                      <w:sz w:val="18"/>
                      <w:szCs w:val="20"/>
                    </w:rPr>
                  </w:pPr>
                  <w:r>
                    <w:rPr>
                      <w:rFonts w:ascii="Times New Roman" w:hAnsi="Times New Roman"/>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noWrap w:val="0"/>
                  <w:vAlign w:val="center"/>
                </w:tcPr>
                <w:p>
                  <w:pPr>
                    <w:spacing w:line="360" w:lineRule="auto"/>
                    <w:rPr>
                      <w:szCs w:val="21"/>
                    </w:rPr>
                  </w:pPr>
                </w:p>
              </w:tc>
              <w:tc>
                <w:tcPr>
                  <w:tcW w:w="1018" w:type="pct"/>
                  <w:noWrap w:val="0"/>
                  <w:vAlign w:val="center"/>
                </w:tcPr>
                <w:p>
                  <w:pPr>
                    <w:spacing w:line="360" w:lineRule="auto"/>
                    <w:rPr>
                      <w:szCs w:val="21"/>
                    </w:rPr>
                  </w:pPr>
                  <w:r>
                    <w:rPr>
                      <w:szCs w:val="21"/>
                    </w:rPr>
                    <w:t>污染物</w:t>
                  </w:r>
                  <w:r>
                    <w:rPr>
                      <w:rFonts w:hint="eastAsia"/>
                      <w:szCs w:val="21"/>
                    </w:rPr>
                    <w:t>排</w:t>
                  </w:r>
                  <w:r>
                    <w:rPr>
                      <w:szCs w:val="21"/>
                    </w:rPr>
                    <w:t>放管控</w:t>
                  </w:r>
                </w:p>
              </w:tc>
              <w:tc>
                <w:tcPr>
                  <w:tcW w:w="3489" w:type="pct"/>
                  <w:noWrap w:val="0"/>
                  <w:vAlign w:val="center"/>
                </w:tcPr>
                <w:p>
                  <w:pPr>
                    <w:pStyle w:val="24"/>
                    <w:jc w:val="center"/>
                    <w:rPr>
                      <w:rFonts w:ascii="Times New Roman" w:hAnsi="Times New Roman"/>
                      <w:sz w:val="18"/>
                      <w:szCs w:val="20"/>
                    </w:rPr>
                  </w:pPr>
                  <w:r>
                    <w:rPr>
                      <w:rFonts w:ascii="Times New Roman" w:hAnsi="Times New Roman"/>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noWrap w:val="0"/>
                  <w:vAlign w:val="center"/>
                </w:tcPr>
                <w:p>
                  <w:pPr>
                    <w:spacing w:line="360" w:lineRule="auto"/>
                    <w:rPr>
                      <w:szCs w:val="21"/>
                    </w:rPr>
                  </w:pPr>
                </w:p>
              </w:tc>
              <w:tc>
                <w:tcPr>
                  <w:tcW w:w="1018" w:type="pct"/>
                  <w:noWrap w:val="0"/>
                  <w:vAlign w:val="center"/>
                </w:tcPr>
                <w:p>
                  <w:pPr>
                    <w:spacing w:line="360" w:lineRule="auto"/>
                    <w:rPr>
                      <w:szCs w:val="21"/>
                    </w:rPr>
                  </w:pPr>
                  <w:r>
                    <w:rPr>
                      <w:szCs w:val="21"/>
                    </w:rPr>
                    <w:t>环境风险防控</w:t>
                  </w:r>
                </w:p>
              </w:tc>
              <w:tc>
                <w:tcPr>
                  <w:tcW w:w="3489" w:type="pct"/>
                  <w:noWrap w:val="0"/>
                  <w:vAlign w:val="center"/>
                </w:tcPr>
                <w:p>
                  <w:pPr>
                    <w:pStyle w:val="24"/>
                    <w:jc w:val="center"/>
                    <w:rPr>
                      <w:rFonts w:ascii="Times New Roman" w:hAnsi="Times New Roman"/>
                      <w:sz w:val="18"/>
                      <w:szCs w:val="20"/>
                    </w:rPr>
                  </w:pPr>
                  <w:r>
                    <w:rPr>
                      <w:rFonts w:ascii="Times New Roman" w:hAnsi="Times New Roman"/>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noWrap w:val="0"/>
                  <w:vAlign w:val="center"/>
                </w:tcPr>
                <w:p>
                  <w:pPr>
                    <w:spacing w:line="360" w:lineRule="auto"/>
                    <w:rPr>
                      <w:szCs w:val="21"/>
                    </w:rPr>
                  </w:pPr>
                </w:p>
              </w:tc>
              <w:tc>
                <w:tcPr>
                  <w:tcW w:w="1018" w:type="pct"/>
                  <w:noWrap w:val="0"/>
                  <w:vAlign w:val="center"/>
                </w:tcPr>
                <w:p>
                  <w:pPr>
                    <w:spacing w:line="360" w:lineRule="auto"/>
                    <w:rPr>
                      <w:szCs w:val="21"/>
                    </w:rPr>
                  </w:pPr>
                  <w:r>
                    <w:rPr>
                      <w:szCs w:val="21"/>
                    </w:rPr>
                    <w:t>资源开发率要求</w:t>
                  </w:r>
                </w:p>
              </w:tc>
              <w:tc>
                <w:tcPr>
                  <w:tcW w:w="3489" w:type="pct"/>
                  <w:noWrap w:val="0"/>
                  <w:vAlign w:val="center"/>
                </w:tcPr>
                <w:p>
                  <w:pPr>
                    <w:pStyle w:val="24"/>
                    <w:jc w:val="center"/>
                    <w:rPr>
                      <w:rFonts w:ascii="Times New Roman" w:hAnsi="Times New Roman"/>
                      <w:sz w:val="18"/>
                      <w:szCs w:val="20"/>
                    </w:rPr>
                  </w:pPr>
                  <w:r>
                    <w:rPr>
                      <w:rFonts w:ascii="Times New Roman" w:hAnsi="Times New Roman"/>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1" w:type="pct"/>
                  <w:gridSpan w:val="2"/>
                  <w:noWrap w:val="0"/>
                  <w:vAlign w:val="center"/>
                </w:tcPr>
                <w:p>
                  <w:pPr>
                    <w:spacing w:line="360" w:lineRule="auto"/>
                    <w:jc w:val="center"/>
                    <w:rPr>
                      <w:szCs w:val="21"/>
                    </w:rPr>
                  </w:pPr>
                  <w:r>
                    <w:rPr>
                      <w:szCs w:val="21"/>
                    </w:rPr>
                    <w:t>符合性分析</w:t>
                  </w:r>
                </w:p>
              </w:tc>
              <w:tc>
                <w:tcPr>
                  <w:tcW w:w="3489" w:type="pct"/>
                  <w:noWrap w:val="0"/>
                  <w:vAlign w:val="center"/>
                </w:tcPr>
                <w:p>
                  <w:pPr>
                    <w:spacing w:line="360" w:lineRule="auto"/>
                    <w:rPr>
                      <w:rFonts w:hint="eastAsia"/>
                      <w:szCs w:val="21"/>
                    </w:rPr>
                  </w:pPr>
                  <w:r>
                    <w:rPr>
                      <w:rFonts w:hint="eastAsia"/>
                      <w:szCs w:val="21"/>
                    </w:rPr>
                    <w:t>运行期工程本身不排放污染物。</w:t>
                  </w:r>
                </w:p>
                <w:p>
                  <w:pPr>
                    <w:spacing w:line="360" w:lineRule="auto"/>
                    <w:rPr>
                      <w:szCs w:val="21"/>
                    </w:rPr>
                  </w:pPr>
                  <w:r>
                    <w:rPr>
                      <w:rFonts w:hint="eastAsia"/>
                      <w:szCs w:val="21"/>
                    </w:rPr>
                    <w:t>施工期本工程混凝土碱性废水通过絮凝沉淀、加药中和处理后，</w:t>
                  </w:r>
                  <w:r>
                    <w:rPr>
                      <w:rFonts w:hint="eastAsia"/>
                    </w:rPr>
                    <w:t>循环利用或用于洒水降尘，废水不外排</w:t>
                  </w:r>
                  <w:r>
                    <w:rPr>
                      <w:rFonts w:hint="eastAsia"/>
                      <w:szCs w:val="21"/>
                    </w:rPr>
                    <w:t>。施工期施工机械、车辆维修和保养均依托当地机修厂，施工现场不单独布设机修厂，不涉及含油废水。基坑排水处理是通过在基坑内布置沉淀池，并投加絮凝剂和中和剂，静置沉淀12h后，用于洒水降尘等，不排入外环境。施工期临时生活区内生活污水排放到环保型防渗旱厕内后进入化粪池，防渗旱厕定期消毒，化粪池用吸粪车定期抽出外运。禁止向附近天然水体直接排放生产废水和生活污水。施工期间不会对周边水体产生不利影响，与水环境的空间布局约束、污染物排放管控、环境风险防控及资源开发率要求相符合。</w:t>
                  </w:r>
                </w:p>
              </w:tc>
            </w:tr>
          </w:tbl>
          <w:p>
            <w:pPr>
              <w:widowControl/>
              <w:jc w:val="left"/>
              <w:rPr>
                <w:rFonts w:hint="eastAsia"/>
                <w:sz w:val="24"/>
              </w:rPr>
            </w:pPr>
            <w:r>
              <w:rPr>
                <w:rFonts w:hint="eastAsia"/>
                <w:sz w:val="24"/>
              </w:rPr>
              <w:t>（2）大气环境</w:t>
            </w:r>
          </w:p>
          <w:p>
            <w:pPr>
              <w:widowControl/>
              <w:spacing w:line="276" w:lineRule="auto"/>
              <w:jc w:val="center"/>
              <w:rPr>
                <w:b/>
                <w:sz w:val="24"/>
              </w:rPr>
            </w:pPr>
            <w:r>
              <w:rPr>
                <w:b/>
                <w:sz w:val="24"/>
              </w:rPr>
              <w:t>表1.</w:t>
            </w:r>
            <w:r>
              <w:rPr>
                <w:rFonts w:hint="eastAsia"/>
                <w:b/>
                <w:sz w:val="24"/>
              </w:rPr>
              <w:t>1</w:t>
            </w:r>
            <w:r>
              <w:rPr>
                <w:b/>
                <w:sz w:val="24"/>
              </w:rPr>
              <w:t>-</w:t>
            </w:r>
            <w:r>
              <w:rPr>
                <w:rFonts w:hint="eastAsia"/>
                <w:b/>
                <w:sz w:val="24"/>
              </w:rPr>
              <w:t xml:space="preserve">2 </w:t>
            </w:r>
            <w:r>
              <w:rPr>
                <w:b/>
                <w:sz w:val="24"/>
              </w:rPr>
              <w:t>大气环境分区管控要求符合性分析</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712"/>
              <w:gridCol w:w="5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restart"/>
                  <w:noWrap w:val="0"/>
                  <w:vAlign w:val="bottom"/>
                </w:tcPr>
                <w:p>
                  <w:pPr>
                    <w:jc w:val="center"/>
                    <w:rPr>
                      <w:szCs w:val="21"/>
                    </w:rPr>
                  </w:pPr>
                  <w:r>
                    <w:rPr>
                      <w:szCs w:val="21"/>
                    </w:rPr>
                    <w:t>环境要素分区管控</w:t>
                  </w:r>
                </w:p>
              </w:tc>
              <w:tc>
                <w:tcPr>
                  <w:tcW w:w="1104" w:type="pct"/>
                  <w:noWrap w:val="0"/>
                  <w:vAlign w:val="center"/>
                </w:tcPr>
                <w:p>
                  <w:pPr>
                    <w:jc w:val="center"/>
                    <w:rPr>
                      <w:szCs w:val="21"/>
                    </w:rPr>
                  </w:pPr>
                  <w:r>
                    <w:rPr>
                      <w:szCs w:val="21"/>
                    </w:rPr>
                    <w:t>管控区</w:t>
                  </w:r>
                  <w:r>
                    <w:rPr>
                      <w:rFonts w:hint="eastAsia"/>
                      <w:szCs w:val="21"/>
                    </w:rPr>
                    <w:t>分类</w:t>
                  </w:r>
                </w:p>
              </w:tc>
              <w:tc>
                <w:tcPr>
                  <w:tcW w:w="3376" w:type="pct"/>
                  <w:noWrap w:val="0"/>
                  <w:vAlign w:val="center"/>
                </w:tcPr>
                <w:p>
                  <w:pPr>
                    <w:jc w:val="center"/>
                    <w:rPr>
                      <w:szCs w:val="21"/>
                    </w:rPr>
                  </w:pPr>
                  <w:r>
                    <w:rPr>
                      <w:rFonts w:hint="eastAsia"/>
                      <w:szCs w:val="21"/>
                    </w:rPr>
                    <w:t>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noWrap w:val="0"/>
                  <w:vAlign w:val="bottom"/>
                </w:tcPr>
                <w:p>
                  <w:pPr>
                    <w:jc w:val="center"/>
                    <w:rPr>
                      <w:szCs w:val="21"/>
                    </w:rPr>
                  </w:pPr>
                </w:p>
              </w:tc>
              <w:tc>
                <w:tcPr>
                  <w:tcW w:w="1104" w:type="pct"/>
                  <w:noWrap w:val="0"/>
                  <w:vAlign w:val="center"/>
                </w:tcPr>
                <w:p>
                  <w:pPr>
                    <w:jc w:val="center"/>
                    <w:rPr>
                      <w:szCs w:val="21"/>
                    </w:rPr>
                  </w:pPr>
                  <w:r>
                    <w:rPr>
                      <w:szCs w:val="21"/>
                    </w:rPr>
                    <w:t>环</w:t>
                  </w:r>
                  <w:r>
                    <w:rPr>
                      <w:szCs w:val="21"/>
                    </w:rPr>
                    <w:cr/>
                  </w:r>
                  <w:r>
                    <w:rPr>
                      <w:szCs w:val="21"/>
                    </w:rPr>
                    <w:t>要素</w:t>
                  </w:r>
                </w:p>
              </w:tc>
              <w:tc>
                <w:tcPr>
                  <w:tcW w:w="3376" w:type="pct"/>
                  <w:noWrap w:val="0"/>
                  <w:vAlign w:val="center"/>
                </w:tcPr>
                <w:p>
                  <w:pPr>
                    <w:jc w:val="center"/>
                    <w:rPr>
                      <w:szCs w:val="21"/>
                    </w:rPr>
                  </w:pPr>
                  <w:r>
                    <w:rPr>
                      <w:szCs w:val="21"/>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noWrap w:val="0"/>
                  <w:vAlign w:val="bottom"/>
                </w:tcPr>
                <w:p>
                  <w:pPr>
                    <w:jc w:val="center"/>
                    <w:rPr>
                      <w:szCs w:val="21"/>
                    </w:rPr>
                  </w:pPr>
                </w:p>
              </w:tc>
              <w:tc>
                <w:tcPr>
                  <w:tcW w:w="1104" w:type="pct"/>
                  <w:noWrap w:val="0"/>
                  <w:vAlign w:val="center"/>
                </w:tcPr>
                <w:p>
                  <w:pPr>
                    <w:jc w:val="center"/>
                    <w:rPr>
                      <w:szCs w:val="21"/>
                    </w:rPr>
                  </w:pPr>
                  <w:r>
                    <w:rPr>
                      <w:szCs w:val="21"/>
                    </w:rPr>
                    <w:t>要素细类</w:t>
                  </w:r>
                </w:p>
              </w:tc>
              <w:tc>
                <w:tcPr>
                  <w:tcW w:w="3376" w:type="pct"/>
                  <w:noWrap w:val="0"/>
                  <w:vAlign w:val="center"/>
                </w:tcPr>
                <w:p>
                  <w:pPr>
                    <w:jc w:val="center"/>
                    <w:rPr>
                      <w:szCs w:val="21"/>
                    </w:rPr>
                  </w:pPr>
                  <w:r>
                    <w:rPr>
                      <w:rFonts w:hint="eastAsia"/>
                      <w:szCs w:val="21"/>
                    </w:rPr>
                    <w:t>北林区大气环境布局敏感重点管控区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restart"/>
                  <w:noWrap w:val="0"/>
                  <w:vAlign w:val="center"/>
                </w:tcPr>
                <w:p>
                  <w:pPr>
                    <w:spacing w:line="360" w:lineRule="auto"/>
                    <w:jc w:val="center"/>
                    <w:rPr>
                      <w:szCs w:val="21"/>
                    </w:rPr>
                  </w:pPr>
                  <w:r>
                    <w:rPr>
                      <w:rFonts w:hint="eastAsia"/>
                      <w:szCs w:val="21"/>
                    </w:rPr>
                    <w:t>重点管控区</w:t>
                  </w:r>
                  <w:r>
                    <w:rPr>
                      <w:szCs w:val="21"/>
                    </w:rPr>
                    <w:t>管控要求</w:t>
                  </w:r>
                </w:p>
              </w:tc>
              <w:tc>
                <w:tcPr>
                  <w:tcW w:w="1104" w:type="pct"/>
                  <w:noWrap w:val="0"/>
                  <w:vAlign w:val="center"/>
                </w:tcPr>
                <w:p>
                  <w:pPr>
                    <w:spacing w:line="360" w:lineRule="auto"/>
                    <w:jc w:val="center"/>
                    <w:rPr>
                      <w:szCs w:val="21"/>
                    </w:rPr>
                  </w:pPr>
                  <w:r>
                    <w:rPr>
                      <w:szCs w:val="21"/>
                    </w:rPr>
                    <w:t>空间布</w:t>
                  </w:r>
                  <w:r>
                    <w:rPr>
                      <w:szCs w:val="21"/>
                    </w:rPr>
                    <w:cr/>
                  </w:r>
                  <w:r>
                    <w:rPr>
                      <w:szCs w:val="21"/>
                    </w:rPr>
                    <w:t>约</w:t>
                  </w:r>
                  <w:r>
                    <w:rPr>
                      <w:szCs w:val="21"/>
                    </w:rPr>
                    <w:cr/>
                  </w:r>
                </w:p>
              </w:tc>
              <w:tc>
                <w:tcPr>
                  <w:tcW w:w="3376" w:type="pct"/>
                  <w:noWrap w:val="0"/>
                  <w:vAlign w:val="center"/>
                </w:tcPr>
                <w:p>
                  <w:pPr>
                    <w:spacing w:line="360" w:lineRule="auto"/>
                    <w:rPr>
                      <w:szCs w:val="21"/>
                    </w:rPr>
                  </w:pPr>
                  <w:r>
                    <w:rPr>
                      <w:rFonts w:hint="eastAsia"/>
                      <w:szCs w:val="21"/>
                    </w:rPr>
                    <w:t>执行1.严控“两高”行业产能。严格执行钢铁、水泥、平板玻璃等行业产能置换实施办法。2.利用水泥窑协同处置城市生活垃圾、危险废弃物、电石渣等固废伴生水泥项目，必须依托现有新型干法水泥熟料生产线进行不扩产能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noWrap w:val="0"/>
                  <w:vAlign w:val="center"/>
                </w:tcPr>
                <w:p>
                  <w:pPr>
                    <w:spacing w:line="360" w:lineRule="auto"/>
                    <w:jc w:val="center"/>
                    <w:rPr>
                      <w:szCs w:val="21"/>
                    </w:rPr>
                  </w:pPr>
                </w:p>
              </w:tc>
              <w:tc>
                <w:tcPr>
                  <w:tcW w:w="1104" w:type="pct"/>
                  <w:noWrap w:val="0"/>
                  <w:vAlign w:val="center"/>
                </w:tcPr>
                <w:p>
                  <w:pPr>
                    <w:spacing w:line="360" w:lineRule="auto"/>
                    <w:jc w:val="center"/>
                    <w:rPr>
                      <w:szCs w:val="21"/>
                    </w:rPr>
                  </w:pPr>
                  <w:r>
                    <w:rPr>
                      <w:szCs w:val="21"/>
                    </w:rPr>
                    <w:t>污染物排放管控</w:t>
                  </w:r>
                </w:p>
              </w:tc>
              <w:tc>
                <w:tcPr>
                  <w:tcW w:w="3376" w:type="pct"/>
                  <w:noWrap w:val="0"/>
                  <w:vAlign w:val="center"/>
                </w:tcPr>
                <w:p>
                  <w:pPr>
                    <w:spacing w:line="360" w:lineRule="auto"/>
                    <w:rPr>
                      <w:rFonts w:hint="eastAsia"/>
                      <w:szCs w:val="21"/>
                    </w:rPr>
                  </w:pPr>
                  <w:r>
                    <w:rPr>
                      <w:rFonts w:hint="eastAsia"/>
                      <w:szCs w:val="21"/>
                    </w:rPr>
                    <w:t>1.执行大气环境布局敏感重点管控区同时执行1.对以煤、石焦油、渣油、重油等为燃料的锅炉和工业炉窑，加快使用清洁低碳能源以及工厂余热、电力热力等进行替代。</w:t>
                  </w:r>
                </w:p>
                <w:p>
                  <w:pPr>
                    <w:spacing w:line="360" w:lineRule="auto"/>
                    <w:rPr>
                      <w:szCs w:val="21"/>
                    </w:rPr>
                  </w:pPr>
                  <w:r>
                    <w:rPr>
                      <w:rFonts w:hint="eastAsia"/>
                      <w:szCs w:val="21"/>
                    </w:rPr>
                    <w:t>2.到2025年，在用65蒸吨/小时以上的燃煤锅炉（含电力）实现超低排放，钢铁企业基本实现超低排放。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noWrap w:val="0"/>
                  <w:vAlign w:val="center"/>
                </w:tcPr>
                <w:p>
                  <w:pPr>
                    <w:spacing w:line="360" w:lineRule="auto"/>
                    <w:jc w:val="center"/>
                    <w:rPr>
                      <w:szCs w:val="21"/>
                    </w:rPr>
                  </w:pPr>
                </w:p>
              </w:tc>
              <w:tc>
                <w:tcPr>
                  <w:tcW w:w="1104" w:type="pct"/>
                  <w:noWrap w:val="0"/>
                  <w:vAlign w:val="center"/>
                </w:tcPr>
                <w:p>
                  <w:pPr>
                    <w:spacing w:line="360" w:lineRule="auto"/>
                    <w:jc w:val="center"/>
                    <w:rPr>
                      <w:szCs w:val="21"/>
                    </w:rPr>
                  </w:pPr>
                  <w:r>
                    <w:rPr>
                      <w:szCs w:val="21"/>
                    </w:rPr>
                    <w:t>环境风险防控</w:t>
                  </w:r>
                </w:p>
              </w:tc>
              <w:tc>
                <w:tcPr>
                  <w:tcW w:w="3376" w:type="pct"/>
                  <w:noWrap w:val="0"/>
                  <w:vAlign w:val="center"/>
                </w:tcPr>
                <w:p>
                  <w:pPr>
                    <w:spacing w:line="360" w:lineRule="auto"/>
                    <w:rPr>
                      <w:rFonts w:eastAsia="仿宋_GB2312"/>
                      <w:kern w:val="0"/>
                      <w:szCs w:val="21"/>
                    </w:rPr>
                  </w:pPr>
                  <w:r>
                    <w:rPr>
                      <w:szCs w:val="21"/>
                    </w:rPr>
                    <w:t>大气环境布局敏感重点管控区</w:t>
                  </w:r>
                  <w:r>
                    <w:rPr>
                      <w:rFonts w:hint="eastAsia"/>
                      <w:szCs w:val="21"/>
                    </w:rPr>
                    <w:t>同时执行禁止在居民区、学校、医疗和养老机构等周边新建有色金属冶炼、焦化等行业企业。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0" w:type="pct"/>
                  <w:vMerge w:val="continue"/>
                  <w:noWrap w:val="0"/>
                  <w:vAlign w:val="center"/>
                </w:tcPr>
                <w:p>
                  <w:pPr>
                    <w:spacing w:line="360" w:lineRule="auto"/>
                    <w:jc w:val="center"/>
                    <w:rPr>
                      <w:szCs w:val="21"/>
                    </w:rPr>
                  </w:pPr>
                </w:p>
              </w:tc>
              <w:tc>
                <w:tcPr>
                  <w:tcW w:w="1104" w:type="pct"/>
                  <w:noWrap w:val="0"/>
                  <w:vAlign w:val="center"/>
                </w:tcPr>
                <w:p>
                  <w:pPr>
                    <w:spacing w:line="360" w:lineRule="auto"/>
                    <w:jc w:val="center"/>
                    <w:rPr>
                      <w:szCs w:val="21"/>
                    </w:rPr>
                  </w:pPr>
                  <w:r>
                    <w:rPr>
                      <w:rFonts w:hint="eastAsia"/>
                      <w:szCs w:val="21"/>
                    </w:rPr>
                    <w:t>资源开发率要求</w:t>
                  </w:r>
                </w:p>
              </w:tc>
              <w:tc>
                <w:tcPr>
                  <w:tcW w:w="3376" w:type="pct"/>
                  <w:noWrap w:val="0"/>
                  <w:vAlign w:val="center"/>
                </w:tcPr>
                <w:p>
                  <w:pPr>
                    <w:spacing w:line="360" w:lineRule="auto"/>
                    <w:jc w:val="center"/>
                    <w:rPr>
                      <w:rFonts w:hint="eastAsia"/>
                      <w:szCs w:val="21"/>
                    </w:rPr>
                  </w:pPr>
                  <w:r>
                    <w:rPr>
                      <w:sz w:val="1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24" w:type="pct"/>
                  <w:gridSpan w:val="2"/>
                  <w:noWrap w:val="0"/>
                  <w:vAlign w:val="center"/>
                </w:tcPr>
                <w:p>
                  <w:pPr>
                    <w:spacing w:line="360" w:lineRule="auto"/>
                    <w:jc w:val="center"/>
                    <w:rPr>
                      <w:szCs w:val="21"/>
                    </w:rPr>
                  </w:pPr>
                  <w:r>
                    <w:rPr>
                      <w:szCs w:val="21"/>
                    </w:rPr>
                    <w:t>符</w:t>
                  </w:r>
                  <w:r>
                    <w:rPr>
                      <w:rFonts w:hint="eastAsia"/>
                      <w:szCs w:val="21"/>
                    </w:rPr>
                    <w:t>合</w:t>
                  </w:r>
                  <w:r>
                    <w:rPr>
                      <w:szCs w:val="21"/>
                    </w:rPr>
                    <w:t>性分析</w:t>
                  </w:r>
                </w:p>
              </w:tc>
              <w:tc>
                <w:tcPr>
                  <w:tcW w:w="3376" w:type="pct"/>
                  <w:noWrap w:val="0"/>
                  <w:vAlign w:val="center"/>
                </w:tcPr>
                <w:p>
                  <w:pPr>
                    <w:spacing w:line="360" w:lineRule="auto"/>
                    <w:rPr>
                      <w:szCs w:val="21"/>
                    </w:rPr>
                  </w:pPr>
                  <w:r>
                    <w:rPr>
                      <w:rFonts w:hint="eastAsia"/>
                      <w:szCs w:val="21"/>
                    </w:rPr>
                    <w:t>本工程均位于北林区大气环境布局敏感重点管控区。运行期工程本身不产生大气污染，仅施工期的施工扬尘、交通运输扬尘及施工机械燃油机械会对周边环境产生一定影响，且这种影响是暂时的，随着施工结束这种影响也随之消失，因此本项目与大气环境的空间布局约束、污染物排放管控、环境风险防控等要求相符合。</w:t>
                  </w:r>
                </w:p>
              </w:tc>
            </w:tr>
          </w:tbl>
          <w:p>
            <w:pPr>
              <w:widowControl/>
              <w:jc w:val="left"/>
              <w:rPr>
                <w:rFonts w:hint="eastAsia"/>
              </w:rPr>
            </w:pPr>
          </w:p>
          <w:p>
            <w:pPr>
              <w:widowControl/>
              <w:jc w:val="left"/>
              <w:rPr>
                <w:rFonts w:hint="eastAsia"/>
              </w:rPr>
            </w:pPr>
          </w:p>
          <w:p>
            <w:pPr>
              <w:widowControl/>
              <w:jc w:val="center"/>
              <w:rPr>
                <w:rFonts w:hint="eastAsia"/>
              </w:rPr>
            </w:pPr>
            <w:r>
              <mc:AlternateContent>
                <mc:Choice Requires="wps">
                  <w:drawing>
                    <wp:anchor distT="0" distB="0" distL="114300" distR="114300" simplePos="0" relativeHeight="251659264" behindDoc="0" locked="0" layoutInCell="1" allowOverlap="1">
                      <wp:simplePos x="0" y="0"/>
                      <wp:positionH relativeFrom="column">
                        <wp:posOffset>1120140</wp:posOffset>
                      </wp:positionH>
                      <wp:positionV relativeFrom="paragraph">
                        <wp:posOffset>777240</wp:posOffset>
                      </wp:positionV>
                      <wp:extent cx="1005205" cy="260350"/>
                      <wp:effectExtent l="4445" t="5080" r="57150" b="458470"/>
                      <wp:wrapNone/>
                      <wp:docPr id="17" name="矩形标注 17"/>
                      <wp:cNvGraphicFramePr/>
                      <a:graphic xmlns:a="http://schemas.openxmlformats.org/drawingml/2006/main">
                        <a:graphicData uri="http://schemas.microsoft.com/office/word/2010/wordprocessingShape">
                          <wps:wsp>
                            <wps:cNvSpPr/>
                            <wps:spPr>
                              <a:xfrm>
                                <a:off x="0" y="0"/>
                                <a:ext cx="1005205" cy="260350"/>
                              </a:xfrm>
                              <a:prstGeom prst="wedgeRectCallout">
                                <a:avLst>
                                  <a:gd name="adj1" fmla="val 53727"/>
                                  <a:gd name="adj2" fmla="val 218051"/>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工程示意位置</w:t>
                                  </w:r>
                                </w:p>
                              </w:txbxContent>
                            </wps:txbx>
                            <wps:bodyPr upright="1"/>
                          </wps:wsp>
                        </a:graphicData>
                      </a:graphic>
                    </wp:anchor>
                  </w:drawing>
                </mc:Choice>
                <mc:Fallback>
                  <w:pict>
                    <v:shape id="_x0000_s1026" o:spid="_x0000_s1026" o:spt="61" type="#_x0000_t61" style="position:absolute;left:0pt;margin-left:88.2pt;margin-top:61.2pt;height:20.5pt;width:79.15pt;z-index:251659264;mso-width-relative:page;mso-height-relative:page;" fillcolor="#FFFFFF" filled="t" stroked="t" coordsize="21600,21600" o:gfxdata="UEsDBAoAAAAAAIdO4kAAAAAAAAAAAAAAAAAEAAAAZHJzL1BLAwQUAAAACACHTuJAT6wgZ9cAAAAL&#10;AQAADwAAAGRycy9kb3ducmV2LnhtbE2PzU7DMBCE70i8g7VI3KjTJKQoxKkQEj9HGrhwc+IlCcTr&#10;YLtNeXuWU7nN7I5mv622RzuJA/owOlKwXiUgkDpnRuoVvL0+XN2ACFGT0ZMjVPCDAbb1+VmlS+MW&#10;2uGhib3gEgqlVjDEOJdShm5Aq8PKzUi8+3De6sjW99J4vXC5nWSaJIW0eiS+MOgZ7wfsvpq9VTAb&#10;fPx8X5rWo3m+zuL3y8483Sl1ebFObkFEPMZTGP7wGR1qZmrdnkwQE/tNkXOURZqy4ESW5RsQLU+K&#10;LAdZV/L/D/UvUEsDBBQAAAAIAIdO4kAfKbXYOQIAAI8EAAAOAAAAZHJzL2Uyb0RvYy54bWytVMty&#10;0zAU3TPDP2i0J3503BZPnC4awoaBDoUPUCTZFqPXSEqcfAGfAcMK1qz5HMpvcCWbNC0sssAL+0i6&#10;OrrnXF3Pr3ZKoi13Xhjd4GKWY8Q1NUzorsHv362eXWLkA9GMSKN5g/fc46vF0yfzwda8NL2RjDsE&#10;JNrXg21wH4Kts8zTniviZ8ZyDYutcYoEGLouY44MwK5kVub5eTYYx6wzlHsPs8txEU+M7hRC07aC&#10;8qWhG8V1GFkdlySAJN8L6/EiZdu2nIY3bet5QLLBoDSkNxwCeB3f2WJO6s4R2ws6pUBOSeGRJkWE&#10;hkMPVEsSCNo48ReVEtQZb9owo0Zlo5DkCKgo8kfe3PbE8qQFrPb2YLr/f7T09fbGIcHgJlxgpImC&#10;iv/69O3njy93nz/eff+KYBo8GqyvIfTW3rhp5AFGwbvWqfgFKWiXfN0ffOW7gChMFnlelXmFEYW1&#10;8jw/q5Lx2f1u63x4yY1CETR44Kzjb6F410RKswnJWrJ95UPymE2JEvahwKhVEkq2JRJVZxdlShfq&#10;cBRTHseUxWVeFVETHD9RAvqTQOT3Rgq2ElKmgevW19Ih4G/wKj3T5gdhUqOhwc+rMqok0BYtXEeA&#10;yoK1XndJwYMd/pg4T8+/iGNiS+L7MYHEEMNIrUTgLqGeE/ZCMxT2FqqnoWtxTEZxhpHk0OQRpchA&#10;hDwlEgyRGhyKZR8LHVHYrXdAE+HasD3cm411ouuhYKOhcQXuabJ26qnYCMfjRHr/H1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sIGfXAAAACwEAAA8AAAAAAAAAAQAgAAAAIgAAAGRycy9kb3du&#10;cmV2LnhtbFBLAQIUABQAAAAIAIdO4kAfKbXYOQIAAI8EAAAOAAAAAAAAAAEAIAAAACYBAABkcnMv&#10;ZTJvRG9jLnhtbFBLBQYAAAAABgAGAFkBAADRBQAAAAA=&#10;" adj="22405,57899">
                      <v:fill on="t" focussize="0,0"/>
                      <v:stroke color="#000000" joinstyle="miter"/>
                      <v:imagedata o:title=""/>
                      <o:lock v:ext="edit" aspectratio="f"/>
                      <v:textbox>
                        <w:txbxContent>
                          <w:p>
                            <w:r>
                              <w:rPr>
                                <w:rFonts w:hint="eastAsia"/>
                              </w:rPr>
                              <w:t>工程示意位置</w:t>
                            </w:r>
                          </w:p>
                        </w:txbxContent>
                      </v:textbox>
                    </v:shape>
                  </w:pict>
                </mc:Fallback>
              </mc:AlternateContent>
            </w:r>
            <w:r>
              <w:rPr>
                <w:rFonts w:hint="eastAsia"/>
                <w:b/>
                <w:sz w:val="24"/>
              </w:rPr>
              <mc:AlternateContent>
                <mc:Choice Requires="wps">
                  <w:drawing>
                    <wp:anchor distT="0" distB="0" distL="114300" distR="114300" simplePos="0" relativeHeight="251660288" behindDoc="0" locked="0" layoutInCell="1" allowOverlap="1">
                      <wp:simplePos x="0" y="0"/>
                      <wp:positionH relativeFrom="column">
                        <wp:posOffset>2171065</wp:posOffset>
                      </wp:positionH>
                      <wp:positionV relativeFrom="paragraph">
                        <wp:posOffset>1481455</wp:posOffset>
                      </wp:positionV>
                      <wp:extent cx="90805" cy="90805"/>
                      <wp:effectExtent l="4445" t="4445" r="19050" b="19050"/>
                      <wp:wrapNone/>
                      <wp:docPr id="16" name="椭圆 16"/>
                      <wp:cNvGraphicFramePr/>
                      <a:graphic xmlns:a="http://schemas.openxmlformats.org/drawingml/2006/main">
                        <a:graphicData uri="http://schemas.microsoft.com/office/word/2010/wordprocessingShape">
                          <wps:wsp>
                            <wps:cNvSpPr/>
                            <wps:spPr>
                              <a:xfrm>
                                <a:off x="0" y="0"/>
                                <a:ext cx="90805" cy="90805"/>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70.95pt;margin-top:116.65pt;height:7.15pt;width:7.15pt;z-index:251660288;mso-width-relative:page;mso-height-relative:page;" fillcolor="#FF0000" filled="t" stroked="t" coordsize="21600,21600" o:gfxdata="UEsDBAoAAAAAAIdO4kAAAAAAAAAAAAAAAAAEAAAAZHJzL1BLAwQUAAAACACHTuJAkZ2SEtkAAAAL&#10;AQAADwAAAGRycy9kb3ducmV2LnhtbE2PPW/CMBCG90r9D9YhdStOYkghjcNQqepICl26mdhJLPwR&#10;2YbAv+91ase7e/Te89a7mzXkqkLU3nHIlxkQ5TovtRs4fB3fnzdAYhJOCuOd4nBXEXbN40MtKuln&#10;96muhzQQDHGxEhzGlKaK0tiNyoq49JNyeOt9sCLhGAYqg5gx3BpaZFlJrdAOP4xiUm+j6s6Hi+UQ&#10;7rPf5Oa7bfd60H277rf2Y8/50yLPXoEkdUt/MPzqozo06HTyFycjMRzYKt8iyqFgjAFBgq3LAsgJ&#10;N6uXEmhT0/8dmh9QSwMEFAAAAAgAh07iQJd2m+XxAQAAFgQAAA4AAABkcnMvZTJvRG9jLnhtbK1T&#10;S27bMBDdF+gdCO5ryQYSpILlLOK6m6INkPYAY5KSCPAHDm3ZF+gpuuy2x2rP0SHlOE268SJaSENy&#10;9Oa9N8Pl7cEatlcRtXctn89qzpQTXmrXt/zb1827G84wgZNgvFMtPyrkt6u3b5ZjaNTCD95IFRmB&#10;OGzG0PIhpdBUFYpBWcCZD8rRYeejhUTL2Fcywkjo1lSLur6uRh9liF4oRNpdT4f8hBgvAfRdp4Va&#10;e7GzyqUJNSoDiSThoAPyVWHbdUqkL12HKjHTclKaypuKULzN72q1hKaPEAYtThTgEgovNFnQjoqe&#10;odaQgO2i/g/KahE9+i7NhLfVJKQ4Qirm9QtvHgYIqmghqzGcTcfXgxWf9/eRaUmTcM2ZA0sd//Pz&#10;1+8f3xltkDtjwIaSHsJ9PK2Qwiz10EWbvySCHYqjx7Oj6pCYoM339U19xZmgkykkjOrp1xAxfVTe&#10;shy0XBlDzcuKoYH9J0xT9mNW3kZvtNxoY8oi9ts7E9keqLubTU1PpkwFnqUZx0aqf7XITIBGtqNR&#10;odAGko2uL/We/YGXAWdia8BhIlAQpoEaFMgPTrJ0DOSno3vEMwWrJGdG0bXLETGFJoE2l2SSJuNI&#10;Wm7H1IAcbb08Uvt2Iep+IAPnRX4+oXEpRpxGO8/jv+uC9HSdV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Z2SEtkAAAALAQAADwAAAAAAAAABACAAAAAiAAAAZHJzL2Rvd25yZXYueG1sUEsBAhQA&#10;FAAAAAgAh07iQJd2m+XxAQAAFgQAAA4AAAAAAAAAAQAgAAAAKAEAAGRycy9lMm9Eb2MueG1sUEsF&#10;BgAAAAAGAAYAWQEAAIsFAAAAAA==&#10;">
                      <v:fill on="t" focussize="0,0"/>
                      <v:stroke color="#FF0000" joinstyle="round"/>
                      <v:imagedata o:title=""/>
                      <o:lock v:ext="edit" aspectratio="f"/>
                    </v:shape>
                  </w:pict>
                </mc:Fallback>
              </mc:AlternateContent>
            </w:r>
            <w:r>
              <w:drawing>
                <wp:inline distT="0" distB="0" distL="114300" distR="114300">
                  <wp:extent cx="4480560" cy="2773045"/>
                  <wp:effectExtent l="0" t="0" r="15240" b="8255"/>
                  <wp:docPr id="18" name="图片 4" descr="说明: D:\省院工作\2021\其它\各地市三线一单正式发布稿集合2021年6月\绥化市三线一单正式发布稿2021.6.17\附件：绥化市人环境管控单元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说明: D:\省院工作\2021\其它\各地市三线一单正式发布稿集合2021年6月\绥化市三线一单正式发布稿2021.6.17\附件：绥化市人环境管控单元分布图.jpg"/>
                          <pic:cNvPicPr>
                            <a:picLocks noChangeAspect="1"/>
                          </pic:cNvPicPr>
                        </pic:nvPicPr>
                        <pic:blipFill>
                          <a:blip r:embed="rId9"/>
                          <a:srcRect l="14154" t="23727" r="16348" b="15279"/>
                          <a:stretch>
                            <a:fillRect/>
                          </a:stretch>
                        </pic:blipFill>
                        <pic:spPr>
                          <a:xfrm>
                            <a:off x="0" y="0"/>
                            <a:ext cx="4480560" cy="2773045"/>
                          </a:xfrm>
                          <a:prstGeom prst="rect">
                            <a:avLst/>
                          </a:prstGeom>
                          <a:noFill/>
                          <a:ln>
                            <a:noFill/>
                          </a:ln>
                        </pic:spPr>
                      </pic:pic>
                    </a:graphicData>
                  </a:graphic>
                </wp:inline>
              </w:drawing>
            </w:r>
          </w:p>
          <w:p>
            <w:pPr>
              <w:widowControl/>
              <w:jc w:val="left"/>
              <w:rPr>
                <w:rFonts w:hint="eastAsia"/>
              </w:rPr>
            </w:pPr>
          </w:p>
          <w:p>
            <w:pPr>
              <w:widowControl/>
              <w:jc w:val="center"/>
              <w:rPr>
                <w:rFonts w:hint="eastAsia"/>
                <w:b/>
                <w:bCs/>
                <w:sz w:val="24"/>
              </w:rPr>
            </w:pPr>
            <w:r>
              <w:rPr>
                <w:rFonts w:hint="eastAsia"/>
                <w:b/>
                <w:bCs/>
                <w:sz w:val="24"/>
              </w:rPr>
              <w:t>图1-1  本项目与绥化市环境管控单元位置关系图</w:t>
            </w:r>
          </w:p>
          <w:p>
            <w:pPr>
              <w:widowControl/>
              <w:spacing w:line="360" w:lineRule="auto"/>
              <w:jc w:val="left"/>
              <w:rPr>
                <w:rFonts w:hint="eastAsia"/>
                <w:b/>
                <w:sz w:val="24"/>
              </w:rPr>
            </w:pPr>
            <w:r>
              <w:rPr>
                <w:rFonts w:hint="eastAsia"/>
                <w:b/>
                <w:sz w:val="24"/>
              </w:rPr>
              <w:t>1.3资源利用上线</w:t>
            </w:r>
          </w:p>
          <w:p>
            <w:pPr>
              <w:widowControl/>
              <w:spacing w:line="360" w:lineRule="auto"/>
              <w:ind w:firstLine="480" w:firstLineChars="200"/>
              <w:jc w:val="left"/>
              <w:rPr>
                <w:rFonts w:hint="eastAsia"/>
                <w:bCs/>
                <w:sz w:val="24"/>
              </w:rPr>
            </w:pPr>
            <w:r>
              <w:rPr>
                <w:rFonts w:hint="eastAsia"/>
                <w:bCs/>
                <w:sz w:val="24"/>
              </w:rPr>
              <w:t>本项目为已有泄洪闸除险加固工程，属防洪工程，不改变现有水资源开发利用情况，不会对水资源利用上线</w:t>
            </w:r>
            <w:bookmarkStart w:id="40" w:name="_GoBack"/>
            <w:bookmarkEnd w:id="40"/>
            <w:r>
              <w:rPr>
                <w:rFonts w:hint="eastAsia"/>
                <w:bCs/>
                <w:sz w:val="24"/>
              </w:rPr>
              <w:t>产生影响。</w:t>
            </w:r>
          </w:p>
          <w:p>
            <w:pPr>
              <w:spacing w:line="360" w:lineRule="auto"/>
              <w:ind w:firstLine="480" w:firstLineChars="200"/>
              <w:rPr>
                <w:sz w:val="24"/>
              </w:rPr>
            </w:pPr>
            <w:r>
              <w:rPr>
                <w:rFonts w:hint="eastAsia"/>
                <w:sz w:val="24"/>
              </w:rPr>
              <w:t>工程建设永久占地总面积合计1.56hm</w:t>
            </w:r>
            <w:r>
              <w:rPr>
                <w:rFonts w:hint="eastAsia"/>
                <w:sz w:val="24"/>
                <w:vertAlign w:val="superscript"/>
              </w:rPr>
              <w:t>2</w:t>
            </w:r>
            <w:r>
              <w:rPr>
                <w:rFonts w:hint="eastAsia"/>
                <w:sz w:val="24"/>
              </w:rPr>
              <w:t>，</w:t>
            </w:r>
            <w:r>
              <w:rPr>
                <w:sz w:val="24"/>
              </w:rPr>
              <w:t>其中</w:t>
            </w:r>
            <w:r>
              <w:rPr>
                <w:rFonts w:hint="eastAsia"/>
                <w:sz w:val="24"/>
              </w:rPr>
              <w:t>其他草地0.06</w:t>
            </w:r>
            <w:r>
              <w:rPr>
                <w:sz w:val="24"/>
              </w:rPr>
              <w:t>hm</w:t>
            </w:r>
            <w:r>
              <w:rPr>
                <w:sz w:val="24"/>
                <w:vertAlign w:val="superscript"/>
              </w:rPr>
              <w:t>2</w:t>
            </w:r>
            <w:r>
              <w:rPr>
                <w:rFonts w:hint="eastAsia"/>
                <w:sz w:val="24"/>
              </w:rPr>
              <w:t>，水域及水利设施用地1.50</w:t>
            </w:r>
            <w:r>
              <w:rPr>
                <w:sz w:val="24"/>
              </w:rPr>
              <w:t>hm</w:t>
            </w:r>
            <w:r>
              <w:rPr>
                <w:sz w:val="24"/>
                <w:vertAlign w:val="superscript"/>
              </w:rPr>
              <w:t>2</w:t>
            </w:r>
            <w:r>
              <w:rPr>
                <w:rFonts w:hint="eastAsia"/>
                <w:sz w:val="24"/>
              </w:rPr>
              <w:t>，水域及水利设施用地约占96.14%，永久占地的地类主要为水域及水利设施用地。相对于整个区域而言，工程永久占地面积仅占北林区土地资源的约0.0006%，且不新征永久占地，基本上不会改变现状土地利用现状类型，对土地资源影响轻微。本项目不占用永久基本农田。</w:t>
            </w:r>
          </w:p>
          <w:p>
            <w:pPr>
              <w:spacing w:line="360" w:lineRule="auto"/>
              <w:ind w:firstLine="480" w:firstLineChars="200"/>
              <w:outlineLvl w:val="3"/>
              <w:rPr>
                <w:rFonts w:hint="eastAsia"/>
                <w:bCs/>
                <w:sz w:val="24"/>
              </w:rPr>
            </w:pPr>
            <w:r>
              <w:rPr>
                <w:rFonts w:hint="eastAsia"/>
                <w:bCs/>
                <w:sz w:val="24"/>
              </w:rPr>
              <w:t>综上，本项目满足资源利用上线要求。</w:t>
            </w:r>
          </w:p>
          <w:p>
            <w:pPr>
              <w:widowControl/>
              <w:spacing w:line="360" w:lineRule="auto"/>
              <w:jc w:val="left"/>
              <w:rPr>
                <w:rFonts w:hint="eastAsia"/>
                <w:b/>
                <w:sz w:val="24"/>
              </w:rPr>
            </w:pPr>
            <w:r>
              <w:rPr>
                <w:rFonts w:hint="eastAsia"/>
                <w:b/>
                <w:sz w:val="24"/>
              </w:rPr>
              <w:t>1.4生态环境准入清单</w:t>
            </w:r>
          </w:p>
          <w:p>
            <w:pPr>
              <w:widowControl/>
              <w:spacing w:line="360" w:lineRule="auto"/>
              <w:ind w:firstLine="480" w:firstLineChars="200"/>
              <w:jc w:val="left"/>
              <w:rPr>
                <w:rFonts w:hint="eastAsia"/>
                <w:bCs/>
                <w:sz w:val="24"/>
              </w:rPr>
            </w:pPr>
            <w:r>
              <w:rPr>
                <w:rFonts w:hint="eastAsia"/>
                <w:bCs/>
                <w:sz w:val="24"/>
              </w:rPr>
              <w:t>本项目位于绥化市北林区，根据</w:t>
            </w:r>
            <w:r>
              <w:rPr>
                <w:rFonts w:hint="eastAsia"/>
                <w:sz w:val="24"/>
              </w:rPr>
              <w:t>《绥化市人民政府关于实施“三线一单”生态环境分区管控的意见》（绥政发〔2021〕10号）和《关于发布绥化市生态环境准入清单（2023年版）的函》</w:t>
            </w:r>
            <w:r>
              <w:rPr>
                <w:rFonts w:hint="eastAsia"/>
                <w:bCs/>
                <w:sz w:val="24"/>
              </w:rPr>
              <w:t>，本项目与生态环境准入清单对照情况见表1.1-3。</w:t>
            </w:r>
          </w:p>
          <w:p>
            <w:pPr>
              <w:widowControl/>
              <w:spacing w:line="360" w:lineRule="auto"/>
              <w:ind w:firstLine="480" w:firstLineChars="200"/>
              <w:jc w:val="left"/>
              <w:rPr>
                <w:rFonts w:hint="eastAsia"/>
                <w:bCs/>
                <w:sz w:val="24"/>
              </w:rPr>
            </w:pPr>
          </w:p>
          <w:p>
            <w:pPr>
              <w:widowControl/>
              <w:spacing w:line="360" w:lineRule="auto"/>
              <w:ind w:firstLine="480" w:firstLineChars="200"/>
              <w:jc w:val="left"/>
              <w:rPr>
                <w:rFonts w:hint="eastAsia"/>
                <w:bCs/>
                <w:sz w:val="24"/>
              </w:rPr>
            </w:pPr>
          </w:p>
          <w:p>
            <w:pPr>
              <w:widowControl/>
              <w:spacing w:line="360" w:lineRule="auto"/>
              <w:ind w:firstLine="480" w:firstLineChars="200"/>
              <w:jc w:val="left"/>
              <w:rPr>
                <w:rFonts w:hint="eastAsia"/>
                <w:bCs/>
                <w:sz w:val="24"/>
              </w:rPr>
            </w:pPr>
          </w:p>
          <w:p>
            <w:pPr>
              <w:widowControl/>
              <w:spacing w:line="276" w:lineRule="auto"/>
              <w:jc w:val="center"/>
            </w:pPr>
            <w:r>
              <w:rPr>
                <w:b/>
                <w:sz w:val="24"/>
              </w:rPr>
              <w:t>表1.</w:t>
            </w:r>
            <w:r>
              <w:rPr>
                <w:rFonts w:hint="eastAsia"/>
                <w:b/>
                <w:sz w:val="24"/>
              </w:rPr>
              <w:t>1</w:t>
            </w:r>
            <w:r>
              <w:rPr>
                <w:b/>
                <w:sz w:val="24"/>
              </w:rPr>
              <w:t>-</w:t>
            </w:r>
            <w:r>
              <w:rPr>
                <w:rFonts w:hint="eastAsia"/>
                <w:b/>
                <w:sz w:val="24"/>
              </w:rPr>
              <w:t>3 生态环境准入清单符合性分析</w:t>
            </w:r>
          </w:p>
          <w:tbl>
            <w:tblPr>
              <w:tblStyle w:val="14"/>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861"/>
              <w:gridCol w:w="645"/>
              <w:gridCol w:w="528"/>
              <w:gridCol w:w="2685"/>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dxa"/>
                  <w:noWrap w:val="0"/>
                  <w:vAlign w:val="center"/>
                </w:tcPr>
                <w:p>
                  <w:pPr>
                    <w:jc w:val="center"/>
                    <w:rPr>
                      <w:szCs w:val="21"/>
                    </w:rPr>
                  </w:pPr>
                  <w:r>
                    <w:rPr>
                      <w:rFonts w:hint="eastAsia"/>
                      <w:szCs w:val="21"/>
                    </w:rPr>
                    <w:t>环境管控单元编码</w:t>
                  </w:r>
                </w:p>
              </w:tc>
              <w:tc>
                <w:tcPr>
                  <w:tcW w:w="861" w:type="dxa"/>
                  <w:noWrap w:val="0"/>
                  <w:vAlign w:val="center"/>
                </w:tcPr>
                <w:p>
                  <w:pPr>
                    <w:jc w:val="center"/>
                    <w:rPr>
                      <w:szCs w:val="21"/>
                    </w:rPr>
                  </w:pPr>
                  <w:r>
                    <w:rPr>
                      <w:rFonts w:hint="eastAsia"/>
                      <w:szCs w:val="21"/>
                    </w:rPr>
                    <w:t>环境管控单元名称</w:t>
                  </w:r>
                </w:p>
              </w:tc>
              <w:tc>
                <w:tcPr>
                  <w:tcW w:w="645" w:type="dxa"/>
                  <w:noWrap w:val="0"/>
                  <w:vAlign w:val="center"/>
                </w:tcPr>
                <w:p>
                  <w:pPr>
                    <w:jc w:val="center"/>
                    <w:rPr>
                      <w:szCs w:val="21"/>
                    </w:rPr>
                  </w:pPr>
                  <w:r>
                    <w:rPr>
                      <w:rFonts w:hint="eastAsia"/>
                      <w:szCs w:val="21"/>
                    </w:rPr>
                    <w:t>管控单元类别</w:t>
                  </w:r>
                </w:p>
              </w:tc>
              <w:tc>
                <w:tcPr>
                  <w:tcW w:w="3213" w:type="dxa"/>
                  <w:gridSpan w:val="2"/>
                  <w:noWrap w:val="0"/>
                  <w:vAlign w:val="center"/>
                </w:tcPr>
                <w:p>
                  <w:pPr>
                    <w:jc w:val="center"/>
                    <w:rPr>
                      <w:szCs w:val="21"/>
                    </w:rPr>
                  </w:pPr>
                  <w:r>
                    <w:rPr>
                      <w:rFonts w:hint="eastAsia"/>
                      <w:szCs w:val="21"/>
                    </w:rPr>
                    <w:t>管控要求</w:t>
                  </w:r>
                </w:p>
              </w:tc>
              <w:tc>
                <w:tcPr>
                  <w:tcW w:w="1001" w:type="dxa"/>
                  <w:noWrap w:val="0"/>
                  <w:vAlign w:val="center"/>
                </w:tcPr>
                <w:p>
                  <w:pPr>
                    <w:adjustRightInd w:val="0"/>
                    <w:snapToGrid w:val="0"/>
                    <w:jc w:val="center"/>
                    <w:rPr>
                      <w:szCs w:val="21"/>
                    </w:rPr>
                  </w:pPr>
                  <w:r>
                    <w:rPr>
                      <w:rFonts w:hint="eastAsia"/>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dxa"/>
                  <w:vMerge w:val="restart"/>
                  <w:noWrap w:val="0"/>
                  <w:vAlign w:val="center"/>
                </w:tcPr>
                <w:p>
                  <w:pPr>
                    <w:spacing w:line="360" w:lineRule="auto"/>
                    <w:jc w:val="center"/>
                    <w:rPr>
                      <w:szCs w:val="21"/>
                    </w:rPr>
                  </w:pPr>
                  <w:r>
                    <w:rPr>
                      <w:szCs w:val="21"/>
                    </w:rPr>
                    <w:t>ZH23120220003</w:t>
                  </w:r>
                </w:p>
              </w:tc>
              <w:tc>
                <w:tcPr>
                  <w:tcW w:w="861" w:type="dxa"/>
                  <w:vMerge w:val="restart"/>
                  <w:noWrap w:val="0"/>
                  <w:vAlign w:val="center"/>
                </w:tcPr>
                <w:p>
                  <w:pPr>
                    <w:spacing w:line="360" w:lineRule="auto"/>
                    <w:jc w:val="center"/>
                    <w:rPr>
                      <w:rFonts w:hint="eastAsia"/>
                      <w:szCs w:val="21"/>
                    </w:rPr>
                  </w:pPr>
                  <w:r>
                    <w:rPr>
                      <w:rFonts w:hint="eastAsia"/>
                      <w:szCs w:val="21"/>
                    </w:rPr>
                    <w:t>北林区大气环境布局敏感区</w:t>
                  </w:r>
                </w:p>
              </w:tc>
              <w:tc>
                <w:tcPr>
                  <w:tcW w:w="645" w:type="dxa"/>
                  <w:vMerge w:val="restart"/>
                  <w:noWrap w:val="0"/>
                  <w:vAlign w:val="center"/>
                </w:tcPr>
                <w:p>
                  <w:pPr>
                    <w:spacing w:line="360" w:lineRule="auto"/>
                    <w:jc w:val="center"/>
                    <w:rPr>
                      <w:szCs w:val="21"/>
                    </w:rPr>
                  </w:pPr>
                  <w:r>
                    <w:rPr>
                      <w:rFonts w:hint="eastAsia"/>
                      <w:szCs w:val="21"/>
                    </w:rPr>
                    <w:t>重点管控单元</w:t>
                  </w:r>
                </w:p>
              </w:tc>
              <w:tc>
                <w:tcPr>
                  <w:tcW w:w="528" w:type="dxa"/>
                  <w:noWrap w:val="0"/>
                  <w:vAlign w:val="center"/>
                </w:tcPr>
                <w:p>
                  <w:pPr>
                    <w:spacing w:line="360" w:lineRule="auto"/>
                    <w:jc w:val="center"/>
                    <w:rPr>
                      <w:szCs w:val="21"/>
                    </w:rPr>
                  </w:pPr>
                  <w:r>
                    <w:rPr>
                      <w:rFonts w:hint="eastAsia"/>
                      <w:szCs w:val="21"/>
                    </w:rPr>
                    <w:t>空间布局约束</w:t>
                  </w:r>
                </w:p>
              </w:tc>
              <w:tc>
                <w:tcPr>
                  <w:tcW w:w="2685" w:type="dxa"/>
                  <w:noWrap w:val="0"/>
                  <w:vAlign w:val="center"/>
                </w:tcPr>
                <w:p>
                  <w:pPr>
                    <w:spacing w:line="360" w:lineRule="auto"/>
                    <w:rPr>
                      <w:szCs w:val="21"/>
                    </w:rPr>
                  </w:pPr>
                  <w:r>
                    <w:rPr>
                      <w:rFonts w:hint="eastAsia"/>
                      <w:szCs w:val="21"/>
                    </w:rPr>
                    <w:t>执行1.严控“两高”行业产能。严格执行钢铁、水泥、平板玻璃等行业产能置换实施办法。2.利用水泥窑协同处置城市生活垃圾、危险废弃物、电石渣等固废伴生水泥项目，必须依托现有新型干法水泥熟料生产线进行不扩产能改造。</w:t>
                  </w:r>
                </w:p>
              </w:tc>
              <w:tc>
                <w:tcPr>
                  <w:tcW w:w="1001" w:type="dxa"/>
                  <w:vMerge w:val="restart"/>
                  <w:noWrap w:val="0"/>
                  <w:vAlign w:val="center"/>
                </w:tcPr>
                <w:p>
                  <w:pPr>
                    <w:spacing w:line="360" w:lineRule="auto"/>
                    <w:jc w:val="left"/>
                    <w:rPr>
                      <w:rFonts w:hint="eastAsia"/>
                      <w:szCs w:val="21"/>
                    </w:rPr>
                  </w:pPr>
                  <w:r>
                    <w:rPr>
                      <w:rFonts w:hint="eastAsia"/>
                      <w:szCs w:val="21"/>
                    </w:rPr>
                    <w:t>项目属水利类中的防洪工程，运行期项目本身不排放污染物。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dxa"/>
                  <w:vMerge w:val="continue"/>
                  <w:noWrap w:val="0"/>
                  <w:vAlign w:val="center"/>
                </w:tcPr>
                <w:p>
                  <w:pPr>
                    <w:spacing w:line="360" w:lineRule="auto"/>
                    <w:jc w:val="center"/>
                    <w:rPr>
                      <w:szCs w:val="21"/>
                    </w:rPr>
                  </w:pPr>
                </w:p>
              </w:tc>
              <w:tc>
                <w:tcPr>
                  <w:tcW w:w="861" w:type="dxa"/>
                  <w:vMerge w:val="continue"/>
                  <w:noWrap w:val="0"/>
                  <w:vAlign w:val="center"/>
                </w:tcPr>
                <w:p>
                  <w:pPr>
                    <w:spacing w:line="360" w:lineRule="auto"/>
                    <w:jc w:val="center"/>
                    <w:rPr>
                      <w:rFonts w:hint="eastAsia"/>
                      <w:szCs w:val="21"/>
                    </w:rPr>
                  </w:pPr>
                </w:p>
              </w:tc>
              <w:tc>
                <w:tcPr>
                  <w:tcW w:w="645" w:type="dxa"/>
                  <w:vMerge w:val="continue"/>
                  <w:noWrap w:val="0"/>
                  <w:vAlign w:val="center"/>
                </w:tcPr>
                <w:p>
                  <w:pPr>
                    <w:spacing w:line="360" w:lineRule="auto"/>
                    <w:jc w:val="center"/>
                    <w:rPr>
                      <w:rFonts w:hint="eastAsia"/>
                      <w:szCs w:val="21"/>
                    </w:rPr>
                  </w:pPr>
                </w:p>
              </w:tc>
              <w:tc>
                <w:tcPr>
                  <w:tcW w:w="528" w:type="dxa"/>
                  <w:noWrap w:val="0"/>
                  <w:vAlign w:val="center"/>
                </w:tcPr>
                <w:p>
                  <w:pPr>
                    <w:spacing w:line="360" w:lineRule="auto"/>
                    <w:jc w:val="center"/>
                    <w:rPr>
                      <w:rFonts w:hint="eastAsia"/>
                      <w:szCs w:val="21"/>
                    </w:rPr>
                  </w:pPr>
                  <w:r>
                    <w:rPr>
                      <w:rFonts w:hint="eastAsia"/>
                      <w:szCs w:val="21"/>
                    </w:rPr>
                    <w:t>污染物排放管控</w:t>
                  </w:r>
                </w:p>
              </w:tc>
              <w:tc>
                <w:tcPr>
                  <w:tcW w:w="2685" w:type="dxa"/>
                  <w:noWrap w:val="0"/>
                  <w:vAlign w:val="center"/>
                </w:tcPr>
                <w:p>
                  <w:pPr>
                    <w:spacing w:line="360" w:lineRule="auto"/>
                    <w:rPr>
                      <w:rFonts w:hint="eastAsia"/>
                      <w:szCs w:val="21"/>
                    </w:rPr>
                  </w:pPr>
                  <w:r>
                    <w:rPr>
                      <w:rFonts w:hint="eastAsia"/>
                      <w:szCs w:val="21"/>
                    </w:rPr>
                    <w:t>1.执行大气环境布局敏感重点管控区同时执行1.对以煤、石焦油、渣油、重油等为燃料的锅炉和工业炉窑，加快使用清洁低碳能源以及工厂余热、电力热力等进行替代。</w:t>
                  </w:r>
                </w:p>
                <w:p>
                  <w:pPr>
                    <w:spacing w:line="360" w:lineRule="auto"/>
                    <w:rPr>
                      <w:rFonts w:hint="eastAsia"/>
                      <w:szCs w:val="21"/>
                    </w:rPr>
                  </w:pPr>
                  <w:r>
                    <w:rPr>
                      <w:rFonts w:hint="eastAsia"/>
                      <w:szCs w:val="21"/>
                    </w:rPr>
                    <w:t>2.到2025年，在用65蒸吨/小时以上的燃煤锅炉</w:t>
                  </w:r>
                  <w:r>
                    <w:rPr>
                      <w:rFonts w:hint="eastAsia"/>
                      <w:szCs w:val="21"/>
                    </w:rPr>
                    <w:cr/>
                  </w:r>
                  <w:r>
                    <w:rPr>
                      <w:rFonts w:hint="eastAsia"/>
                      <w:szCs w:val="21"/>
                    </w:rPr>
                    <w:t>含电力）实现超低排放，钢铁企业基本实现超低排放。</w:t>
                  </w:r>
                </w:p>
              </w:tc>
              <w:tc>
                <w:tcPr>
                  <w:tcW w:w="1001" w:type="dxa"/>
                  <w:vMerge w:val="continue"/>
                  <w:noWrap w:val="0"/>
                  <w:vAlign w:val="center"/>
                </w:tcPr>
                <w:p>
                  <w:pPr>
                    <w:spacing w:line="360" w:lineRule="auto"/>
                    <w:jc w:val="lef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dxa"/>
                  <w:vMerge w:val="continue"/>
                  <w:noWrap w:val="0"/>
                  <w:vAlign w:val="center"/>
                </w:tcPr>
                <w:p>
                  <w:pPr>
                    <w:spacing w:line="360" w:lineRule="auto"/>
                    <w:jc w:val="center"/>
                    <w:rPr>
                      <w:szCs w:val="21"/>
                    </w:rPr>
                  </w:pPr>
                </w:p>
              </w:tc>
              <w:tc>
                <w:tcPr>
                  <w:tcW w:w="861" w:type="dxa"/>
                  <w:vMerge w:val="continue"/>
                  <w:noWrap w:val="0"/>
                  <w:vAlign w:val="center"/>
                </w:tcPr>
                <w:p>
                  <w:pPr>
                    <w:spacing w:line="360" w:lineRule="auto"/>
                    <w:jc w:val="center"/>
                    <w:rPr>
                      <w:rFonts w:hint="eastAsia"/>
                      <w:szCs w:val="21"/>
                    </w:rPr>
                  </w:pPr>
                </w:p>
              </w:tc>
              <w:tc>
                <w:tcPr>
                  <w:tcW w:w="645" w:type="dxa"/>
                  <w:vMerge w:val="continue"/>
                  <w:noWrap w:val="0"/>
                  <w:vAlign w:val="center"/>
                </w:tcPr>
                <w:p>
                  <w:pPr>
                    <w:spacing w:line="360" w:lineRule="auto"/>
                    <w:jc w:val="center"/>
                    <w:rPr>
                      <w:rFonts w:hint="eastAsia"/>
                      <w:szCs w:val="21"/>
                    </w:rPr>
                  </w:pPr>
                </w:p>
              </w:tc>
              <w:tc>
                <w:tcPr>
                  <w:tcW w:w="528" w:type="dxa"/>
                  <w:noWrap w:val="0"/>
                  <w:vAlign w:val="center"/>
                </w:tcPr>
                <w:p>
                  <w:pPr>
                    <w:spacing w:line="360" w:lineRule="auto"/>
                    <w:jc w:val="center"/>
                    <w:rPr>
                      <w:rFonts w:hint="eastAsia"/>
                      <w:szCs w:val="21"/>
                    </w:rPr>
                  </w:pPr>
                  <w:r>
                    <w:rPr>
                      <w:rFonts w:hint="eastAsia"/>
                      <w:szCs w:val="21"/>
                    </w:rPr>
                    <w:t>环境风险防控</w:t>
                  </w:r>
                </w:p>
              </w:tc>
              <w:tc>
                <w:tcPr>
                  <w:tcW w:w="2685" w:type="dxa"/>
                  <w:noWrap w:val="0"/>
                  <w:vAlign w:val="center"/>
                </w:tcPr>
                <w:p>
                  <w:pPr>
                    <w:spacing w:line="360" w:lineRule="auto"/>
                    <w:rPr>
                      <w:rFonts w:hint="eastAsia"/>
                      <w:szCs w:val="21"/>
                    </w:rPr>
                  </w:pPr>
                  <w:r>
                    <w:rPr>
                      <w:rFonts w:hint="eastAsia"/>
                      <w:szCs w:val="21"/>
                    </w:rPr>
                    <w:t>大气环境布局敏感</w:t>
                  </w:r>
                  <w:r>
                    <w:rPr>
                      <w:rFonts w:hint="eastAsia"/>
                      <w:szCs w:val="21"/>
                    </w:rPr>
                    <w:cr/>
                  </w:r>
                  <w:r>
                    <w:rPr>
                      <w:rFonts w:hint="eastAsia"/>
                      <w:szCs w:val="21"/>
                    </w:rPr>
                    <w:t>重点管控区同时执行禁止在居民区、学校、医疗和养老机构等周边新建有色金属冶炼、焦化等行业企业。</w:t>
                  </w:r>
                </w:p>
              </w:tc>
              <w:tc>
                <w:tcPr>
                  <w:tcW w:w="1001" w:type="dxa"/>
                  <w:vMerge w:val="continue"/>
                  <w:noWrap w:val="0"/>
                  <w:vAlign w:val="center"/>
                </w:tcPr>
                <w:p>
                  <w:pPr>
                    <w:spacing w:line="360" w:lineRule="auto"/>
                    <w:jc w:val="left"/>
                    <w:rPr>
                      <w:rFonts w:hint="eastAsia"/>
                      <w:szCs w:val="21"/>
                    </w:rPr>
                  </w:pPr>
                </w:p>
              </w:tc>
            </w:tr>
          </w:tbl>
          <w:p>
            <w:pPr>
              <w:autoSpaceDE w:val="0"/>
              <w:autoSpaceDN w:val="0"/>
              <w:adjustRightInd w:val="0"/>
              <w:snapToGrid w:val="0"/>
              <w:spacing w:line="360" w:lineRule="auto"/>
              <w:ind w:firstLine="480" w:firstLineChars="200"/>
              <w:rPr>
                <w:rFonts w:hint="eastAsia"/>
                <w:sz w:val="24"/>
              </w:rPr>
            </w:pPr>
          </w:p>
          <w:p>
            <w:pPr>
              <w:widowControl/>
              <w:spacing w:line="360" w:lineRule="auto"/>
              <w:jc w:val="left"/>
              <w:rPr>
                <w:b/>
                <w:sz w:val="24"/>
              </w:rPr>
            </w:pPr>
            <w:bookmarkStart w:id="13" w:name="_Toc47619680"/>
            <w:r>
              <w:rPr>
                <w:rFonts w:hint="eastAsia"/>
                <w:b/>
                <w:sz w:val="24"/>
              </w:rPr>
              <w:t>2、产业政策符合性分析</w:t>
            </w:r>
            <w:bookmarkEnd w:id="13"/>
          </w:p>
          <w:p>
            <w:pPr>
              <w:autoSpaceDE w:val="0"/>
              <w:autoSpaceDN w:val="0"/>
              <w:adjustRightInd w:val="0"/>
              <w:snapToGrid w:val="0"/>
              <w:spacing w:line="360" w:lineRule="auto"/>
              <w:ind w:firstLine="480" w:firstLineChars="200"/>
              <w:rPr>
                <w:rFonts w:hint="eastAsia"/>
                <w:kern w:val="0"/>
                <w:sz w:val="24"/>
              </w:rPr>
            </w:pPr>
            <w:r>
              <w:rPr>
                <w:rFonts w:hint="eastAsia"/>
                <w:kern w:val="0"/>
                <w:sz w:val="24"/>
              </w:rPr>
              <w:t>本项目属于国家发展和改革委员会令第7号《产业结构调整指导目录（2024年本）》（自2024年2月1日起施行）“二、水利”类别中的“3.防洪提升工程”中的“病险水库、水闸除险加固工程”，属于鼓励类，属于鼓励类，因此该工程的建设符合国家产业政策。</w:t>
            </w:r>
          </w:p>
          <w:p>
            <w:pPr>
              <w:widowControl/>
              <w:spacing w:line="360" w:lineRule="auto"/>
              <w:jc w:val="left"/>
              <w:rPr>
                <w:b/>
                <w:sz w:val="24"/>
              </w:rPr>
            </w:pPr>
            <w:bookmarkStart w:id="14" w:name="_Toc47619681"/>
            <w:r>
              <w:rPr>
                <w:rFonts w:hint="eastAsia"/>
                <w:b/>
                <w:sz w:val="24"/>
              </w:rPr>
              <w:t>3、与《黑龙江省主体功能区规划》符合性分析</w:t>
            </w:r>
            <w:bookmarkEnd w:id="14"/>
          </w:p>
          <w:p>
            <w:pPr>
              <w:autoSpaceDE w:val="0"/>
              <w:autoSpaceDN w:val="0"/>
              <w:adjustRightInd w:val="0"/>
              <w:snapToGrid w:val="0"/>
              <w:spacing w:line="360" w:lineRule="auto"/>
              <w:ind w:firstLine="480" w:firstLineChars="200"/>
              <w:rPr>
                <w:rFonts w:hint="eastAsia"/>
                <w:kern w:val="0"/>
                <w:sz w:val="24"/>
              </w:rPr>
            </w:pPr>
            <w:r>
              <w:rPr>
                <w:rFonts w:hint="eastAsia"/>
                <w:kern w:val="0"/>
                <w:sz w:val="24"/>
              </w:rPr>
              <w:t>根据《黑龙江省主体功能区规划》，绥化市北林区四方台镇和秦家镇为其他重点开发城镇，即黑龙江省级重点开发城镇，属省级重点开发区域，其余区域位于限制开发区域（国家农产品主产区）。本项目所在地属于限制开发区域（国家农产品主产区）中的松嫩平原农产品主产区。</w:t>
            </w:r>
          </w:p>
          <w:p>
            <w:pPr>
              <w:autoSpaceDE w:val="0"/>
              <w:autoSpaceDN w:val="0"/>
              <w:adjustRightInd w:val="0"/>
              <w:snapToGrid w:val="0"/>
              <w:spacing w:line="360" w:lineRule="auto"/>
              <w:ind w:firstLine="480" w:firstLineChars="200"/>
              <w:rPr>
                <w:rFonts w:hint="eastAsia"/>
                <w:kern w:val="0"/>
                <w:sz w:val="24"/>
              </w:rPr>
            </w:pPr>
            <w:r>
              <w:rPr>
                <w:rFonts w:hint="eastAsia"/>
                <w:kern w:val="0"/>
                <w:sz w:val="24"/>
              </w:rPr>
              <w:t>功能定位：以提供农产品为主体功能，保障农产品供给安全的重要区域。重要的商品粮生产基地、绿色食品生产基地、畜牧业生产基地和农产品深加工区、农业综合开发试验区、社会主义新农村建设的示范区。</w:t>
            </w:r>
          </w:p>
          <w:p>
            <w:pPr>
              <w:autoSpaceDE w:val="0"/>
              <w:autoSpaceDN w:val="0"/>
              <w:adjustRightInd w:val="0"/>
              <w:snapToGrid w:val="0"/>
              <w:spacing w:line="360" w:lineRule="auto"/>
              <w:ind w:firstLine="480" w:firstLineChars="200"/>
              <w:rPr>
                <w:rFonts w:hint="eastAsia"/>
                <w:kern w:val="0"/>
                <w:sz w:val="24"/>
              </w:rPr>
            </w:pPr>
            <w:r>
              <w:rPr>
                <w:rFonts w:hint="eastAsia"/>
                <w:kern w:val="0"/>
                <w:sz w:val="24"/>
              </w:rPr>
              <w:t>发展方向：建设农业综合开发试验区，保护耕地，集约开发，加强农业基础设施建设，显著提高农业综合生产能力、产业化水平、物资装备水平、支撑服务能力，提高农业生产效率，大力发展高产、高效、优质、安全的现代化大农业，保障农产品供给，确保国家粮食安全和食品安全；积极推进农业规模化水平，搞好绿色（有机）食品基地建设，发展农产品深加工，加大绿色（有机）食品和无公害农产品开发力度，拓展农村就业和增收空间，加强农村基础设施和公共服务设施建设，改善生产生活条件。——加快水利设施建设，加快大中型灌区、排灌泵站配套改造以及水源工程建设。鼓励和支持农民开展小型农田水利设施建设、小流域综合治理。建设节水农业，推广节水灌溉，发展旱作农业。</w:t>
            </w:r>
          </w:p>
          <w:p>
            <w:pPr>
              <w:autoSpaceDE w:val="0"/>
              <w:autoSpaceDN w:val="0"/>
              <w:adjustRightInd w:val="0"/>
              <w:snapToGrid w:val="0"/>
              <w:spacing w:line="360" w:lineRule="auto"/>
              <w:ind w:firstLine="480" w:firstLineChars="200"/>
              <w:rPr>
                <w:rFonts w:hint="eastAsia"/>
                <w:kern w:val="0"/>
                <w:sz w:val="24"/>
              </w:rPr>
            </w:pPr>
            <w:r>
              <w:rPr>
                <w:rFonts w:hint="eastAsia"/>
                <w:kern w:val="0"/>
                <w:sz w:val="24"/>
              </w:rPr>
              <w:t>永安灌区渠首枢纽泄洪闸为永安灌区渠首枢纽工程的主要组成部分，通过本次除险加固，保证泄洪能力，减轻防洪压力。对保护下游农民和耕地，减轻下游及周围村屯的洪涝灾害，保证周边土地的防洪安全十分重要，对保护重要的商品粮生产基地、绿色食品生产基地等十分重要。因此本项目符合《黑龙江省主体功能区规划》。</w:t>
            </w:r>
          </w:p>
          <w:p>
            <w:pPr>
              <w:widowControl/>
              <w:spacing w:line="360" w:lineRule="auto"/>
              <w:jc w:val="left"/>
              <w:rPr>
                <w:b/>
                <w:sz w:val="24"/>
              </w:rPr>
            </w:pPr>
            <w:bookmarkStart w:id="15" w:name="_Toc47619682"/>
            <w:r>
              <w:rPr>
                <w:rFonts w:hint="eastAsia"/>
                <w:b/>
                <w:sz w:val="24"/>
              </w:rPr>
              <w:t>4、与《黑龙江省生态功能区划》符合性分析</w:t>
            </w:r>
            <w:bookmarkEnd w:id="15"/>
          </w:p>
          <w:p>
            <w:pPr>
              <w:autoSpaceDE w:val="0"/>
              <w:autoSpaceDN w:val="0"/>
              <w:adjustRightInd w:val="0"/>
              <w:snapToGrid w:val="0"/>
              <w:spacing w:line="360" w:lineRule="auto"/>
              <w:ind w:firstLine="480" w:firstLineChars="200"/>
              <w:rPr>
                <w:rFonts w:hint="eastAsia"/>
                <w:kern w:val="0"/>
                <w:sz w:val="24"/>
              </w:rPr>
            </w:pPr>
            <w:r>
              <w:rPr>
                <w:rFonts w:hint="eastAsia"/>
                <w:kern w:val="0"/>
                <w:sz w:val="24"/>
              </w:rPr>
              <w:t>根据《黑龙江省生态功能区划》，北林区位于Ⅰ-5-2-2松嫩平原中部农业与土壤保持生态功能区。本区主要环境问题：植被覆盖率低；草原沙化和水土流失现象严重；土地生产力低。主要生态系统服务功能：土壤保持与沙漠化控制、农业生产。保护措施与发展方向：提高水资源的利用率，积极恢复草地生态环境，加大生态农业建设。项目所在生态功能区划分区情况见表1.4-1。</w:t>
            </w:r>
          </w:p>
          <w:p>
            <w:pPr>
              <w:widowControl/>
              <w:spacing w:line="276" w:lineRule="auto"/>
              <w:jc w:val="center"/>
              <w:rPr>
                <w:rFonts w:hint="eastAsia"/>
                <w:b/>
                <w:sz w:val="24"/>
              </w:rPr>
            </w:pPr>
            <w:r>
              <w:rPr>
                <w:b/>
                <w:sz w:val="24"/>
              </w:rPr>
              <w:t>表</w:t>
            </w:r>
            <w:r>
              <w:rPr>
                <w:rFonts w:hint="eastAsia"/>
                <w:b/>
                <w:sz w:val="24"/>
              </w:rPr>
              <w:t xml:space="preserve">1.4-1  </w:t>
            </w:r>
            <w:r>
              <w:rPr>
                <w:b/>
                <w:sz w:val="24"/>
              </w:rPr>
              <w:t>黑龙江省生态功能区划关于</w:t>
            </w:r>
            <w:r>
              <w:rPr>
                <w:rFonts w:hint="eastAsia"/>
                <w:b/>
                <w:sz w:val="24"/>
              </w:rPr>
              <w:t>北林区</w:t>
            </w:r>
            <w:r>
              <w:rPr>
                <w:b/>
                <w:sz w:val="24"/>
              </w:rPr>
              <w:t>内容列表</w:t>
            </w:r>
          </w:p>
          <w:tbl>
            <w:tblPr>
              <w:tblStyle w:val="1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1"/>
              <w:gridCol w:w="1056"/>
              <w:gridCol w:w="1371"/>
              <w:gridCol w:w="909"/>
              <w:gridCol w:w="919"/>
              <w:gridCol w:w="920"/>
              <w:gridCol w:w="920"/>
              <w:gridCol w:w="9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blHeader/>
              </w:trPr>
              <w:tc>
                <w:tcPr>
                  <w:tcW w:w="1876" w:type="pct"/>
                  <w:gridSpan w:val="3"/>
                  <w:noWrap w:val="0"/>
                  <w:vAlign w:val="center"/>
                </w:tcPr>
                <w:p>
                  <w:pPr>
                    <w:widowControl/>
                    <w:jc w:val="center"/>
                    <w:rPr>
                      <w:szCs w:val="21"/>
                    </w:rPr>
                  </w:pPr>
                  <w:r>
                    <w:rPr>
                      <w:szCs w:val="21"/>
                    </w:rPr>
                    <w:t>生态功能分区单</w:t>
                  </w:r>
                  <w:r>
                    <w:rPr>
                      <w:rFonts w:hint="eastAsia"/>
                      <w:szCs w:val="21"/>
                    </w:rPr>
                    <w:t>元</w:t>
                  </w:r>
                </w:p>
              </w:tc>
              <w:tc>
                <w:tcPr>
                  <w:tcW w:w="626" w:type="pct"/>
                  <w:vMerge w:val="restart"/>
                  <w:noWrap w:val="0"/>
                  <w:vAlign w:val="center"/>
                </w:tcPr>
                <w:p>
                  <w:pPr>
                    <w:widowControl/>
                    <w:jc w:val="center"/>
                    <w:rPr>
                      <w:szCs w:val="21"/>
                    </w:rPr>
                  </w:pPr>
                  <w:r>
                    <w:rPr>
                      <w:szCs w:val="21"/>
                    </w:rPr>
                    <w:t>所在区域面积</w:t>
                  </w:r>
                </w:p>
              </w:tc>
              <w:tc>
                <w:tcPr>
                  <w:tcW w:w="624" w:type="pct"/>
                  <w:vMerge w:val="restart"/>
                  <w:noWrap w:val="0"/>
                  <w:vAlign w:val="center"/>
                </w:tcPr>
                <w:p>
                  <w:pPr>
                    <w:widowControl/>
                    <w:jc w:val="center"/>
                    <w:rPr>
                      <w:szCs w:val="21"/>
                    </w:rPr>
                  </w:pPr>
                  <w:r>
                    <w:rPr>
                      <w:rFonts w:hint="eastAsia"/>
                      <w:szCs w:val="21"/>
                    </w:rPr>
                    <w:t>主要生态环</w:t>
                  </w:r>
                  <w:r>
                    <w:rPr>
                      <w:szCs w:val="21"/>
                    </w:rPr>
                    <w:t>境问题</w:t>
                  </w:r>
                </w:p>
              </w:tc>
              <w:tc>
                <w:tcPr>
                  <w:tcW w:w="625" w:type="pct"/>
                  <w:vMerge w:val="restart"/>
                  <w:noWrap w:val="0"/>
                  <w:vAlign w:val="center"/>
                </w:tcPr>
                <w:p>
                  <w:pPr>
                    <w:widowControl/>
                    <w:jc w:val="center"/>
                    <w:rPr>
                      <w:szCs w:val="21"/>
                    </w:rPr>
                  </w:pPr>
                  <w:r>
                    <w:rPr>
                      <w:szCs w:val="21"/>
                    </w:rPr>
                    <w:t>生态环境敏感</w:t>
                  </w:r>
                  <w:r>
                    <w:rPr>
                      <w:rFonts w:hint="eastAsia"/>
                      <w:szCs w:val="21"/>
                    </w:rPr>
                    <w:t>性</w:t>
                  </w:r>
                </w:p>
              </w:tc>
              <w:tc>
                <w:tcPr>
                  <w:tcW w:w="625" w:type="pct"/>
                  <w:vMerge w:val="restart"/>
                  <w:noWrap w:val="0"/>
                  <w:vAlign w:val="center"/>
                </w:tcPr>
                <w:p>
                  <w:pPr>
                    <w:widowControl/>
                    <w:jc w:val="center"/>
                    <w:rPr>
                      <w:szCs w:val="21"/>
                    </w:rPr>
                  </w:pPr>
                  <w:r>
                    <w:rPr>
                      <w:szCs w:val="21"/>
                    </w:rPr>
                    <w:t>主要生态系统服务功能</w:t>
                  </w:r>
                </w:p>
              </w:tc>
              <w:tc>
                <w:tcPr>
                  <w:tcW w:w="624" w:type="pct"/>
                  <w:vMerge w:val="restart"/>
                  <w:noWrap w:val="0"/>
                  <w:vAlign w:val="center"/>
                </w:tcPr>
                <w:p>
                  <w:pPr>
                    <w:widowControl/>
                    <w:jc w:val="center"/>
                    <w:rPr>
                      <w:szCs w:val="21"/>
                    </w:rPr>
                  </w:pPr>
                  <w:r>
                    <w:rPr>
                      <w:szCs w:val="21"/>
                    </w:rPr>
                    <w:t>保护措施与发展方向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501" w:type="pct"/>
                  <w:noWrap w:val="0"/>
                  <w:vAlign w:val="center"/>
                </w:tcPr>
                <w:p>
                  <w:pPr>
                    <w:widowControl/>
                    <w:jc w:val="center"/>
                    <w:rPr>
                      <w:szCs w:val="21"/>
                    </w:rPr>
                  </w:pPr>
                  <w:r>
                    <w:rPr>
                      <w:szCs w:val="21"/>
                    </w:rPr>
                    <w:t>生态区</w:t>
                  </w:r>
                </w:p>
              </w:tc>
              <w:tc>
                <w:tcPr>
                  <w:tcW w:w="626" w:type="pct"/>
                  <w:noWrap w:val="0"/>
                  <w:vAlign w:val="center"/>
                </w:tcPr>
                <w:p>
                  <w:pPr>
                    <w:widowControl/>
                    <w:jc w:val="center"/>
                    <w:rPr>
                      <w:szCs w:val="21"/>
                    </w:rPr>
                  </w:pPr>
                  <w:r>
                    <w:rPr>
                      <w:szCs w:val="21"/>
                    </w:rPr>
                    <w:t>生态亚区</w:t>
                  </w:r>
                </w:p>
              </w:tc>
              <w:tc>
                <w:tcPr>
                  <w:tcW w:w="749" w:type="pct"/>
                  <w:noWrap w:val="0"/>
                  <w:vAlign w:val="center"/>
                </w:tcPr>
                <w:p>
                  <w:pPr>
                    <w:widowControl/>
                    <w:jc w:val="center"/>
                    <w:rPr>
                      <w:szCs w:val="21"/>
                    </w:rPr>
                  </w:pPr>
                  <w:r>
                    <w:rPr>
                      <w:szCs w:val="21"/>
                    </w:rPr>
                    <w:t>生</w:t>
                  </w:r>
                  <w:r>
                    <w:rPr>
                      <w:rFonts w:hint="eastAsia"/>
                      <w:szCs w:val="21"/>
                    </w:rPr>
                    <w:t>态</w:t>
                  </w:r>
                  <w:r>
                    <w:rPr>
                      <w:szCs w:val="21"/>
                    </w:rPr>
                    <w:t>功能区</w:t>
                  </w:r>
                </w:p>
              </w:tc>
              <w:tc>
                <w:tcPr>
                  <w:tcW w:w="626" w:type="pct"/>
                  <w:vMerge w:val="continue"/>
                  <w:noWrap w:val="0"/>
                  <w:vAlign w:val="center"/>
                </w:tcPr>
                <w:p>
                  <w:pPr>
                    <w:widowControl/>
                    <w:jc w:val="left"/>
                    <w:rPr>
                      <w:szCs w:val="21"/>
                    </w:rPr>
                  </w:pPr>
                </w:p>
              </w:tc>
              <w:tc>
                <w:tcPr>
                  <w:tcW w:w="624" w:type="pct"/>
                  <w:vMerge w:val="continue"/>
                  <w:noWrap w:val="0"/>
                  <w:vAlign w:val="center"/>
                </w:tcPr>
                <w:p>
                  <w:pPr>
                    <w:widowControl/>
                    <w:jc w:val="left"/>
                    <w:rPr>
                      <w:szCs w:val="21"/>
                    </w:rPr>
                  </w:pPr>
                </w:p>
              </w:tc>
              <w:tc>
                <w:tcPr>
                  <w:tcW w:w="625" w:type="pct"/>
                  <w:vMerge w:val="continue"/>
                  <w:noWrap w:val="0"/>
                  <w:vAlign w:val="center"/>
                </w:tcPr>
                <w:p>
                  <w:pPr>
                    <w:widowControl/>
                    <w:jc w:val="left"/>
                    <w:rPr>
                      <w:szCs w:val="21"/>
                    </w:rPr>
                  </w:pPr>
                </w:p>
              </w:tc>
              <w:tc>
                <w:tcPr>
                  <w:tcW w:w="625" w:type="pct"/>
                  <w:vMerge w:val="continue"/>
                  <w:noWrap w:val="0"/>
                  <w:vAlign w:val="center"/>
                </w:tcPr>
                <w:p>
                  <w:pPr>
                    <w:widowControl/>
                    <w:jc w:val="left"/>
                    <w:rPr>
                      <w:szCs w:val="21"/>
                    </w:rPr>
                  </w:pPr>
                </w:p>
              </w:tc>
              <w:tc>
                <w:tcPr>
                  <w:tcW w:w="624" w:type="pct"/>
                  <w:vMerge w:val="continue"/>
                  <w:noWrap w:val="0"/>
                  <w:vAlign w:val="center"/>
                </w:tcPr>
                <w:p>
                  <w:pPr>
                    <w:widowControl/>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3" w:hRule="atLeast"/>
              </w:trPr>
              <w:tc>
                <w:tcPr>
                  <w:tcW w:w="501" w:type="pct"/>
                  <w:noWrap w:val="0"/>
                  <w:vAlign w:val="center"/>
                </w:tcPr>
                <w:p>
                  <w:pPr>
                    <w:widowControl/>
                    <w:jc w:val="center"/>
                    <w:rPr>
                      <w:szCs w:val="21"/>
                    </w:rPr>
                  </w:pPr>
                  <w:r>
                    <w:rPr>
                      <w:rFonts w:hint="eastAsia"/>
                      <w:szCs w:val="21"/>
                    </w:rPr>
                    <w:t>Ⅰ—5松嫩平原东部农业生态区</w:t>
                  </w:r>
                </w:p>
              </w:tc>
              <w:tc>
                <w:tcPr>
                  <w:tcW w:w="626" w:type="pct"/>
                  <w:noWrap w:val="0"/>
                  <w:vAlign w:val="center"/>
                </w:tcPr>
                <w:p>
                  <w:pPr>
                    <w:widowControl/>
                    <w:jc w:val="center"/>
                    <w:rPr>
                      <w:szCs w:val="21"/>
                    </w:rPr>
                  </w:pPr>
                  <w:r>
                    <w:rPr>
                      <w:rFonts w:hint="eastAsia"/>
                      <w:szCs w:val="21"/>
                    </w:rPr>
                    <w:t>Ⅰ—5—2松嫩平原东北部农业与土壤保持生态亚区</w:t>
                  </w:r>
                </w:p>
              </w:tc>
              <w:tc>
                <w:tcPr>
                  <w:tcW w:w="749" w:type="pct"/>
                  <w:noWrap w:val="0"/>
                  <w:vAlign w:val="center"/>
                </w:tcPr>
                <w:p>
                  <w:pPr>
                    <w:widowControl/>
                    <w:jc w:val="center"/>
                    <w:rPr>
                      <w:szCs w:val="21"/>
                    </w:rPr>
                  </w:pPr>
                  <w:r>
                    <w:rPr>
                      <w:rFonts w:hint="eastAsia"/>
                      <w:szCs w:val="21"/>
                    </w:rPr>
                    <w:t>Ⅰ—5—2—2松嫩平原中部农业与土壤保持生态功能区</w:t>
                  </w:r>
                </w:p>
              </w:tc>
              <w:tc>
                <w:tcPr>
                  <w:tcW w:w="626" w:type="pct"/>
                  <w:noWrap w:val="0"/>
                  <w:vAlign w:val="center"/>
                </w:tcPr>
                <w:p>
                  <w:pPr>
                    <w:widowControl/>
                    <w:jc w:val="left"/>
                    <w:rPr>
                      <w:szCs w:val="21"/>
                    </w:rPr>
                  </w:pPr>
                  <w:r>
                    <w:rPr>
                      <w:rFonts w:hint="eastAsia"/>
                      <w:szCs w:val="21"/>
                    </w:rPr>
                    <w:t>绥化市、望奎县、巴彦县、依安县、明水县、青冈县、兰西县、克山县、克东县、拜泉县和木兰县部分地区组成，面积31460平方公里</w:t>
                  </w:r>
                </w:p>
              </w:tc>
              <w:tc>
                <w:tcPr>
                  <w:tcW w:w="624" w:type="pct"/>
                  <w:noWrap w:val="0"/>
                  <w:vAlign w:val="center"/>
                </w:tcPr>
                <w:p>
                  <w:pPr>
                    <w:widowControl/>
                    <w:jc w:val="left"/>
                    <w:rPr>
                      <w:szCs w:val="21"/>
                    </w:rPr>
                  </w:pPr>
                  <w:r>
                    <w:rPr>
                      <w:rFonts w:hint="eastAsia"/>
                      <w:szCs w:val="21"/>
                    </w:rPr>
                    <w:t>植被覆盖率低；草原沙化和水土流失现象严重；土地生产力低</w:t>
                  </w:r>
                </w:p>
              </w:tc>
              <w:tc>
                <w:tcPr>
                  <w:tcW w:w="625" w:type="pct"/>
                  <w:noWrap w:val="0"/>
                  <w:vAlign w:val="center"/>
                </w:tcPr>
                <w:p>
                  <w:pPr>
                    <w:widowControl/>
                    <w:jc w:val="left"/>
                    <w:rPr>
                      <w:szCs w:val="21"/>
                    </w:rPr>
                  </w:pPr>
                  <w:r>
                    <w:rPr>
                      <w:rFonts w:hint="eastAsia"/>
                      <w:szCs w:val="21"/>
                    </w:rPr>
                    <w:t>大面积的土地沙漠化敏感性为中度敏感；明水附近土壤侵蚀敏感性为高度敏感</w:t>
                  </w:r>
                </w:p>
              </w:tc>
              <w:tc>
                <w:tcPr>
                  <w:tcW w:w="625" w:type="pct"/>
                  <w:noWrap w:val="0"/>
                  <w:vAlign w:val="center"/>
                </w:tcPr>
                <w:p>
                  <w:pPr>
                    <w:widowControl/>
                    <w:jc w:val="left"/>
                    <w:rPr>
                      <w:szCs w:val="21"/>
                    </w:rPr>
                  </w:pPr>
                  <w:r>
                    <w:rPr>
                      <w:rFonts w:hint="eastAsia"/>
                      <w:szCs w:val="21"/>
                    </w:rPr>
                    <w:t>土壤保持与沙漠化控制、农业生产</w:t>
                  </w:r>
                </w:p>
              </w:tc>
              <w:tc>
                <w:tcPr>
                  <w:tcW w:w="624" w:type="pct"/>
                  <w:noWrap w:val="0"/>
                  <w:vAlign w:val="center"/>
                </w:tcPr>
                <w:p>
                  <w:pPr>
                    <w:widowControl/>
                    <w:jc w:val="left"/>
                    <w:rPr>
                      <w:szCs w:val="21"/>
                    </w:rPr>
                  </w:pPr>
                  <w:r>
                    <w:rPr>
                      <w:rFonts w:hint="eastAsia"/>
                      <w:szCs w:val="21"/>
                    </w:rPr>
                    <w:t>提高水资源的利用率，积极恢复草地生态环境，加大生态农业建设</w:t>
                  </w:r>
                </w:p>
              </w:tc>
            </w:tr>
          </w:tbl>
          <w:p>
            <w:pPr>
              <w:widowControl/>
              <w:spacing w:line="360" w:lineRule="auto"/>
              <w:ind w:firstLine="480" w:firstLineChars="200"/>
              <w:jc w:val="left"/>
              <w:rPr>
                <w:rFonts w:hint="eastAsia"/>
                <w:kern w:val="0"/>
                <w:sz w:val="24"/>
              </w:rPr>
            </w:pPr>
            <w:r>
              <w:rPr>
                <w:rFonts w:hint="eastAsia"/>
                <w:kern w:val="0"/>
                <w:sz w:val="24"/>
              </w:rPr>
              <w:t>永安灌区渠首枢纽控制流域面积广，控制年径流量较大，承担的防洪压力较大。永安灌区渠首枢纽泄洪闸为永安灌区渠首枢纽工程的主要组成部分，通过本次除险加固，保证泄洪能力，减轻防洪压力。对保护下游农民和耕地，减轻下游及周围村屯的洪涝灾害，保证周边土地的防洪安全十分重要。工程建成后，运行期工程本身不排污，因此本项目与《黑龙江省生态功能区划》相符合。</w:t>
            </w:r>
          </w:p>
          <w:p>
            <w:pPr>
              <w:widowControl/>
              <w:spacing w:line="360" w:lineRule="auto"/>
              <w:jc w:val="left"/>
              <w:rPr>
                <w:rFonts w:hint="eastAsia"/>
                <w:b/>
                <w:sz w:val="24"/>
              </w:rPr>
            </w:pPr>
            <w:r>
              <w:rPr>
                <w:rFonts w:hint="eastAsia"/>
                <w:b/>
                <w:sz w:val="24"/>
              </w:rPr>
              <w:t>5、与《呼兰河流域综合治理和生态保护规划纲要》的符合性分析</w:t>
            </w:r>
          </w:p>
          <w:p>
            <w:pPr>
              <w:autoSpaceDE w:val="0"/>
              <w:autoSpaceDN w:val="0"/>
              <w:adjustRightInd w:val="0"/>
              <w:snapToGrid w:val="0"/>
              <w:spacing w:line="360" w:lineRule="auto"/>
              <w:ind w:firstLine="480" w:firstLineChars="200"/>
              <w:rPr>
                <w:rFonts w:hint="eastAsia"/>
                <w:kern w:val="0"/>
                <w:sz w:val="24"/>
              </w:rPr>
            </w:pPr>
            <w:r>
              <w:rPr>
                <w:rFonts w:hint="eastAsia"/>
                <w:kern w:val="0"/>
                <w:sz w:val="24"/>
              </w:rPr>
              <w:t xml:space="preserve">《呼兰河流域综合治理和生态保护规划纲要》提出“2025年的发展目标包括现代化防洪减灾体系基本建成，”“第三章加强流域综合治理第一节加强控制性工程建设，实现治水安澜就明确提出了：坚持“以泄为主、蓄泄兼顾、守点固线、全面治理”原则，全面提高我市呼兰河流域主要干支流、中小河流自然灾害防治能力，形成“上拦、中疏、下泄”防洪减灾体系。继续推进中小型病险水库、中型病险水闸除险加固，着力解决防洪、灌溉和供水问题，消除重点隐患，避免因水库失事带来生命及财产损失。完善防洪基础设施，全面提升洪水灾害综合防治能力。” </w:t>
            </w:r>
          </w:p>
          <w:p>
            <w:pPr>
              <w:autoSpaceDE w:val="0"/>
              <w:autoSpaceDN w:val="0"/>
              <w:adjustRightInd w:val="0"/>
              <w:snapToGrid w:val="0"/>
              <w:spacing w:line="360" w:lineRule="auto"/>
              <w:ind w:firstLine="480" w:firstLineChars="200"/>
              <w:rPr>
                <w:rFonts w:hint="eastAsia"/>
                <w:kern w:val="0"/>
                <w:sz w:val="24"/>
              </w:rPr>
            </w:pPr>
            <w:r>
              <w:rPr>
                <w:rFonts w:hint="eastAsia"/>
                <w:kern w:val="0"/>
                <w:sz w:val="24"/>
              </w:rPr>
              <w:t>本项目属于“病险水闸除险加固”。永安灌区渠首枢纽泄洪闸为永安灌区渠首枢纽工程的主要组成部分，通过本次除险加固，保证泄洪能力，减轻防洪压力。对保护下游农民和耕地，减轻下游及周围村屯的洪涝灾害，保证周边土地的防洪安全十分重要。</w:t>
            </w:r>
          </w:p>
          <w:p>
            <w:pPr>
              <w:autoSpaceDE w:val="0"/>
              <w:autoSpaceDN w:val="0"/>
              <w:adjustRightInd w:val="0"/>
              <w:snapToGrid w:val="0"/>
              <w:spacing w:line="360" w:lineRule="auto"/>
              <w:ind w:firstLine="480" w:firstLineChars="200"/>
              <w:rPr>
                <w:rFonts w:hint="eastAsia"/>
                <w:kern w:val="0"/>
                <w:sz w:val="24"/>
              </w:rPr>
            </w:pPr>
            <w:r>
              <w:rPr>
                <w:rFonts w:hint="eastAsia"/>
                <w:kern w:val="0"/>
                <w:sz w:val="24"/>
              </w:rPr>
              <w:t>因此本项目与《呼兰河流域综合治理和生态保护规划纲要》相符合。</w:t>
            </w:r>
          </w:p>
          <w:p>
            <w:pPr>
              <w:widowControl/>
              <w:spacing w:line="360" w:lineRule="auto"/>
              <w:jc w:val="left"/>
              <w:rPr>
                <w:rFonts w:hint="eastAsia"/>
                <w:b/>
                <w:sz w:val="24"/>
              </w:rPr>
            </w:pPr>
            <w:r>
              <w:rPr>
                <w:rFonts w:hint="eastAsia"/>
                <w:b/>
                <w:sz w:val="24"/>
              </w:rPr>
              <w:t>6、与《绥化市“十四五”生态环境保护规划》的符合性分析</w:t>
            </w:r>
          </w:p>
          <w:p>
            <w:pPr>
              <w:spacing w:line="360" w:lineRule="auto"/>
              <w:ind w:firstLine="480" w:firstLineChars="200"/>
              <w:outlineLvl w:val="3"/>
              <w:rPr>
                <w:rFonts w:hint="eastAsia"/>
                <w:kern w:val="0"/>
                <w:sz w:val="24"/>
              </w:rPr>
            </w:pPr>
            <w:r>
              <w:rPr>
                <w:rFonts w:hint="eastAsia"/>
                <w:kern w:val="0"/>
                <w:sz w:val="24"/>
              </w:rPr>
              <w:t>《绥化市“十四五”生态环境保护规划》明确提出“节水增容推动水生态恢复。保障生态流量。实施节水行动，严格计划用水管理，分行业推进节水示范建设。因地制宜推进再生水利用。” 本项目属已有灌区枢纽泄洪闸除险加固工程，不改变现有工程防洪等级及运行调度方式，且属于省政府已批复的《呼兰河生态流量保障方案》中明确的生态流量管理断面。《呼兰河生态流量保障方案》考虑了呼兰河干流沿线灌区取水，统筹考虑了上、下游河道水环境、水生态等生态用水及生产、生活用水。泄洪闸除险加固不改变现有农业灌溉引水量，运行期泄洪闸通过主管部门调度及监管，项目不影响生态流量且有助于生态流量保障目标的实现。因此，本项目与规划相符合。</w:t>
            </w:r>
          </w:p>
          <w:p>
            <w:pPr>
              <w:widowControl/>
              <w:spacing w:line="360" w:lineRule="auto"/>
              <w:jc w:val="left"/>
              <w:rPr>
                <w:b/>
                <w:sz w:val="24"/>
              </w:rPr>
            </w:pPr>
            <w:r>
              <w:rPr>
                <w:rFonts w:hint="eastAsia"/>
                <w:b/>
                <w:sz w:val="24"/>
              </w:rPr>
              <w:t>7、与《水利建设项目（河湖整治与防洪除涝工程）环境影响评价文件审批原则（试行）》符合性分析</w:t>
            </w:r>
          </w:p>
          <w:p>
            <w:pPr>
              <w:widowControl/>
              <w:spacing w:line="360" w:lineRule="auto"/>
              <w:ind w:firstLine="480" w:firstLineChars="200"/>
              <w:jc w:val="left"/>
              <w:rPr>
                <w:rFonts w:hint="eastAsia"/>
                <w:sz w:val="24"/>
              </w:rPr>
            </w:pPr>
            <w:r>
              <w:rPr>
                <w:rFonts w:hint="eastAsia"/>
                <w:sz w:val="24"/>
              </w:rPr>
              <w:t>项目与审批原则符合性分析详见表1.7-1。</w:t>
            </w:r>
          </w:p>
          <w:p>
            <w:pPr>
              <w:widowControl/>
              <w:spacing w:line="276" w:lineRule="auto"/>
              <w:jc w:val="center"/>
              <w:rPr>
                <w:b/>
                <w:sz w:val="24"/>
              </w:rPr>
            </w:pPr>
            <w:r>
              <w:rPr>
                <w:b/>
                <w:sz w:val="24"/>
              </w:rPr>
              <w:t>表</w:t>
            </w:r>
            <w:r>
              <w:rPr>
                <w:rFonts w:hint="eastAsia"/>
                <w:b/>
                <w:sz w:val="24"/>
              </w:rPr>
              <w:t xml:space="preserve">1.7-1  </w:t>
            </w:r>
            <w:r>
              <w:rPr>
                <w:b/>
                <w:sz w:val="24"/>
              </w:rPr>
              <w:t>项目与</w:t>
            </w:r>
            <w:r>
              <w:rPr>
                <w:rFonts w:hint="eastAsia"/>
                <w:b/>
                <w:sz w:val="24"/>
              </w:rPr>
              <w:t>审批原则的</w:t>
            </w:r>
            <w:r>
              <w:rPr>
                <w:b/>
                <w:sz w:val="24"/>
              </w:rPr>
              <w:t>符合性分析</w:t>
            </w:r>
          </w:p>
          <w:tbl>
            <w:tblPr>
              <w:tblStyle w:val="14"/>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4140"/>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blHeader/>
                <w:jc w:val="center"/>
              </w:trPr>
              <w:tc>
                <w:tcPr>
                  <w:tcW w:w="427" w:type="pct"/>
                  <w:noWrap w:val="0"/>
                  <w:vAlign w:val="center"/>
                </w:tcPr>
                <w:p>
                  <w:pPr>
                    <w:widowControl/>
                    <w:spacing w:line="360" w:lineRule="auto"/>
                    <w:jc w:val="center"/>
                    <w:rPr>
                      <w:szCs w:val="21"/>
                    </w:rPr>
                  </w:pPr>
                  <w:r>
                    <w:rPr>
                      <w:szCs w:val="21"/>
                    </w:rPr>
                    <w:t>序号</w:t>
                  </w:r>
                </w:p>
              </w:tc>
              <w:tc>
                <w:tcPr>
                  <w:tcW w:w="2726" w:type="pct"/>
                  <w:noWrap w:val="0"/>
                  <w:vAlign w:val="center"/>
                </w:tcPr>
                <w:p>
                  <w:pPr>
                    <w:widowControl/>
                    <w:spacing w:line="360" w:lineRule="auto"/>
                    <w:jc w:val="center"/>
                    <w:rPr>
                      <w:szCs w:val="21"/>
                    </w:rPr>
                  </w:pPr>
                  <w:r>
                    <w:rPr>
                      <w:rFonts w:hint="eastAsia"/>
                      <w:szCs w:val="21"/>
                    </w:rPr>
                    <w:t>水利建设项目（河湖整治与防洪除涝工程）环境影响评价文件审批原则（试行）</w:t>
                  </w:r>
                  <w:r>
                    <w:rPr>
                      <w:szCs w:val="21"/>
                    </w:rPr>
                    <w:t>条款</w:t>
                  </w:r>
                </w:p>
              </w:tc>
              <w:tc>
                <w:tcPr>
                  <w:tcW w:w="1847" w:type="pct"/>
                  <w:noWrap w:val="0"/>
                  <w:vAlign w:val="center"/>
                </w:tcPr>
                <w:p>
                  <w:pPr>
                    <w:widowControl/>
                    <w:spacing w:line="360" w:lineRule="auto"/>
                    <w:jc w:val="center"/>
                    <w:rPr>
                      <w:szCs w:val="21"/>
                    </w:rPr>
                  </w:pPr>
                  <w:r>
                    <w:rPr>
                      <w:szCs w:val="21"/>
                    </w:rPr>
                    <w:t>本项目与审批原则符合性分析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szCs w:val="21"/>
                    </w:rPr>
                  </w:pPr>
                  <w:r>
                    <w:rPr>
                      <w:rFonts w:hint="eastAsia"/>
                      <w:szCs w:val="21"/>
                    </w:rPr>
                    <w:t>1</w:t>
                  </w:r>
                </w:p>
              </w:tc>
              <w:tc>
                <w:tcPr>
                  <w:tcW w:w="2726" w:type="pct"/>
                  <w:noWrap w:val="0"/>
                  <w:vAlign w:val="center"/>
                </w:tcPr>
                <w:p>
                  <w:pPr>
                    <w:widowControl/>
                    <w:spacing w:line="360" w:lineRule="auto"/>
                    <w:rPr>
                      <w:szCs w:val="21"/>
                    </w:rPr>
                  </w:pPr>
                  <w:r>
                    <w:rPr>
                      <w:rFonts w:hint="eastAsia"/>
                      <w:szCs w:val="21"/>
                    </w:rPr>
                    <w:t>本原则适用于河湖整治与防洪除涝工程环境影响评价文件的审批，工程建设内容包括疏浚、堤防建设、闸坝闸站建设、岸线治理、水系连通、蓄（滞）洪区建设、排涝治理等（引调水、防洪水库等水利枢纽工程除外）。其他类似工程可参照执行。</w:t>
                  </w:r>
                </w:p>
              </w:tc>
              <w:tc>
                <w:tcPr>
                  <w:tcW w:w="1847" w:type="pct"/>
                  <w:noWrap w:val="0"/>
                  <w:vAlign w:val="center"/>
                </w:tcPr>
                <w:p>
                  <w:pPr>
                    <w:widowControl/>
                    <w:spacing w:line="360" w:lineRule="auto"/>
                    <w:rPr>
                      <w:szCs w:val="21"/>
                    </w:rPr>
                  </w:pPr>
                  <w:r>
                    <w:rPr>
                      <w:rFonts w:hint="eastAsia"/>
                      <w:szCs w:val="21"/>
                    </w:rPr>
                    <w:t>本项目主要是针对已有泄洪闸的除险加固工程，属防洪工程，因此参照《水利建设项目（河湖整治与防洪除涝工程）环境影响评价文件审批原则（试行）》进行符合性分析。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szCs w:val="21"/>
                    </w:rPr>
                  </w:pPr>
                  <w:r>
                    <w:rPr>
                      <w:rFonts w:hint="eastAsia"/>
                      <w:szCs w:val="21"/>
                    </w:rPr>
                    <w:t>2</w:t>
                  </w:r>
                </w:p>
              </w:tc>
              <w:tc>
                <w:tcPr>
                  <w:tcW w:w="2726" w:type="pct"/>
                  <w:noWrap w:val="0"/>
                  <w:vAlign w:val="center"/>
                </w:tcPr>
                <w:p>
                  <w:pPr>
                    <w:widowControl/>
                    <w:spacing w:line="360" w:lineRule="auto"/>
                    <w:rPr>
                      <w:szCs w:val="21"/>
                    </w:rPr>
                  </w:pPr>
                  <w:r>
                    <w:rPr>
                      <w:rFonts w:hint="eastAsia"/>
                      <w:szCs w:val="21"/>
                    </w:rPr>
                    <w:t>项目符合环境保护相关法律法规和政策要求，与主体功能区规划、生态功能区划、水环境功能区划、水功能区划、生态环境保护规划、流域综合规划、防洪规划等相协调，满足相关规划环评要求。工程涉及岸线调整（治导线变化）、裁弯取直、围垦水面和占用河湖滩地等建设内容的，充分论证了方案环境可行性，最大程度保持了河湖自然形态，最大限度维护了河湖健康、生态系统功能和生物多样性。</w:t>
                  </w:r>
                </w:p>
              </w:tc>
              <w:tc>
                <w:tcPr>
                  <w:tcW w:w="1847" w:type="pct"/>
                  <w:noWrap w:val="0"/>
                  <w:vAlign w:val="center"/>
                </w:tcPr>
                <w:p>
                  <w:pPr>
                    <w:widowControl/>
                    <w:spacing w:line="360" w:lineRule="auto"/>
                    <w:rPr>
                      <w:szCs w:val="21"/>
                    </w:rPr>
                  </w:pPr>
                  <w:r>
                    <w:rPr>
                      <w:rFonts w:hint="eastAsia"/>
                      <w:szCs w:val="21"/>
                    </w:rPr>
                    <w:t>永安灌区渠首枢纽泄洪闸为永安灌区渠首枢纽工程的主要组成部分，通过本次除险加固，保证泄洪能力，减轻防洪压力，对保护下游农民和耕地，减轻下游及周围村屯的洪涝灾害，保证周边土地的防洪安全十分重要。本项目符合生态环境及资源相关法律法规和政策要求，符合《黑龙江省主体功能区</w:t>
                  </w:r>
                  <w:r>
                    <w:rPr>
                      <w:rFonts w:hint="eastAsia"/>
                      <w:szCs w:val="21"/>
                      <w:lang w:eastAsia="zh-CN"/>
                    </w:rPr>
                    <w:t>规划</w:t>
                  </w:r>
                  <w:r>
                    <w:rPr>
                      <w:rFonts w:hint="eastAsia"/>
                      <w:szCs w:val="21"/>
                    </w:rPr>
                    <w:t>》《黑龙江省生态功能区划》《呼兰河流域综合治理和生态保护规划纲要》《绥化市“十四五”生态环境保护规划》以及《松花江流域综合规划（2012—2030年）》。工程建设对河湖健康和生态系统功能及生物多样性影响较小。总之，本项目建设与第二条是相符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3</w:t>
                  </w:r>
                </w:p>
              </w:tc>
              <w:tc>
                <w:tcPr>
                  <w:tcW w:w="2726" w:type="pct"/>
                  <w:noWrap w:val="0"/>
                  <w:vAlign w:val="center"/>
                </w:tcPr>
                <w:p>
                  <w:pPr>
                    <w:widowControl/>
                    <w:spacing w:line="360" w:lineRule="auto"/>
                    <w:rPr>
                      <w:rFonts w:hint="eastAsia"/>
                      <w:szCs w:val="21"/>
                    </w:rPr>
                  </w:pPr>
                  <w:r>
                    <w:rPr>
                      <w:rFonts w:hint="eastAsia"/>
                      <w:szCs w:val="21"/>
                    </w:rPr>
                    <w:t>工程选址选线、施工布置原则上不占用自然</w:t>
                  </w:r>
                  <w:r>
                    <w:rPr>
                      <w:rFonts w:hint="eastAsia"/>
                      <w:szCs w:val="21"/>
                    </w:rPr>
                    <w:cr/>
                  </w:r>
                  <w:r>
                    <w:rPr>
                      <w:rFonts w:hint="eastAsia"/>
                      <w:szCs w:val="21"/>
                    </w:rPr>
                    <w:t>保护区、风景名胜区、世界文化和自然遗产地以及其他生态保护红线等环境敏感区法律法规禁止占用的区域，并与饮用水水源保护区的保护要求相协调。法律法规、政策另有规定的从</w:t>
                  </w:r>
                  <w:r>
                    <w:rPr>
                      <w:rFonts w:hint="eastAsia"/>
                      <w:szCs w:val="21"/>
                    </w:rPr>
                    <w:cr/>
                  </w:r>
                  <w:r>
                    <w:rPr>
                      <w:rFonts w:hint="eastAsia"/>
                      <w:szCs w:val="21"/>
                    </w:rPr>
                    <w:t>规定。</w:t>
                  </w:r>
                  <w:r>
                    <w:rPr>
                      <w:rFonts w:hint="eastAsia"/>
                      <w:szCs w:val="21"/>
                    </w:rPr>
                    <w:cr/>
                  </w:r>
                </w:p>
              </w:tc>
              <w:tc>
                <w:tcPr>
                  <w:tcW w:w="1847" w:type="pct"/>
                  <w:noWrap w:val="0"/>
                  <w:vAlign w:val="center"/>
                </w:tcPr>
                <w:p>
                  <w:pPr>
                    <w:widowControl/>
                    <w:spacing w:line="360" w:lineRule="auto"/>
                    <w:rPr>
                      <w:szCs w:val="21"/>
                    </w:rPr>
                  </w:pPr>
                  <w:r>
                    <w:rPr>
                      <w:rFonts w:hint="eastAsia"/>
                      <w:szCs w:val="21"/>
                    </w:rPr>
                    <w:t>本项目不涉及生态保护红线。项目不涉及占用自然保护区等其他环境敏感区中法律法规禁止占用的区域，综上，本项目建设与第三条是相符合的。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4</w:t>
                  </w:r>
                </w:p>
              </w:tc>
              <w:tc>
                <w:tcPr>
                  <w:tcW w:w="2726" w:type="pct"/>
                  <w:noWrap w:val="0"/>
                  <w:vAlign w:val="center"/>
                </w:tcPr>
                <w:p>
                  <w:pPr>
                    <w:widowControl/>
                    <w:spacing w:line="360" w:lineRule="auto"/>
                    <w:rPr>
                      <w:rFonts w:hint="eastAsia"/>
                      <w:szCs w:val="21"/>
                    </w:rPr>
                  </w:pPr>
                  <w:r>
                    <w:rPr>
                      <w:rFonts w:hint="eastAsia"/>
                      <w:szCs w:val="21"/>
                    </w:rPr>
                    <w:t>项目实施改变水动力条件或水文过程且对水质产生不利影响的，提出了工程优化调整、科学调度、实施区域流域水污染防治等措施。对地下水环境产生不利影响或次生环境影响的，提出了优化工程设计、导排、防护等针对性的防治措施。</w:t>
                  </w:r>
                </w:p>
                <w:p>
                  <w:pPr>
                    <w:widowControl/>
                    <w:spacing w:line="360" w:lineRule="auto"/>
                    <w:rPr>
                      <w:rFonts w:hint="eastAsia"/>
                      <w:szCs w:val="21"/>
                    </w:rPr>
                  </w:pPr>
                  <w:r>
                    <w:rPr>
                      <w:rFonts w:hint="eastAsia"/>
                      <w:szCs w:val="21"/>
                    </w:rPr>
                    <w:t>在采取上述措施后，对水环境的不利影响能够得到缓解和控制</w:t>
                  </w:r>
                  <w:r>
                    <w:rPr>
                      <w:rFonts w:hint="eastAsia"/>
                      <w:szCs w:val="21"/>
                    </w:rPr>
                    <w:cr/>
                  </w:r>
                  <w:r>
                    <w:rPr>
                      <w:rFonts w:hint="eastAsia"/>
                      <w:szCs w:val="21"/>
                    </w:rPr>
                    <w:t>居民用水安全能够得到保障，相关区域不会出现显著土壤潜育化、沼泽化、盐碱化等次生环境问题。</w:t>
                  </w:r>
                </w:p>
              </w:tc>
              <w:tc>
                <w:tcPr>
                  <w:tcW w:w="1847" w:type="pct"/>
                  <w:noWrap w:val="0"/>
                  <w:vAlign w:val="center"/>
                </w:tcPr>
                <w:p>
                  <w:pPr>
                    <w:widowControl/>
                    <w:spacing w:line="360" w:lineRule="auto"/>
                    <w:rPr>
                      <w:szCs w:val="21"/>
                    </w:rPr>
                  </w:pPr>
                  <w:r>
                    <w:rPr>
                      <w:rFonts w:hint="eastAsia"/>
                      <w:szCs w:val="21"/>
                    </w:rPr>
                    <w:t>本项目属已有泄洪闸除险加固，不改变水动力条件，运行期工程本身不排污不会对水质产生不利影响，不会对地下水产生不利影响，工程沿线不涉及居民用水安全，不涉及土壤盐渍化等问题，综上，本项目建设与第四条是相符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5</w:t>
                  </w:r>
                </w:p>
              </w:tc>
              <w:tc>
                <w:tcPr>
                  <w:tcW w:w="2726" w:type="pct"/>
                  <w:noWrap w:val="0"/>
                  <w:vAlign w:val="center"/>
                </w:tcPr>
                <w:p>
                  <w:pPr>
                    <w:widowControl/>
                    <w:spacing w:line="360" w:lineRule="auto"/>
                    <w:rPr>
                      <w:rFonts w:hint="eastAsia"/>
                      <w:szCs w:val="21"/>
                    </w:rPr>
                  </w:pPr>
                  <w:r>
                    <w:rPr>
                      <w:rFonts w:hint="eastAsia"/>
                      <w:szCs w:val="21"/>
                    </w:rPr>
                    <w:t>项目对鱼类等水生生物的洄游通道及“三场”等重要生境、物种多样性及资源量等产生不利影响的，提出了下泄生态流量、恢复鱼类洄游通道、采用生态友好型护岸（坡、底）、生态修复、增殖放流等措施。</w:t>
                  </w:r>
                </w:p>
                <w:p>
                  <w:pPr>
                    <w:widowControl/>
                    <w:spacing w:line="360" w:lineRule="auto"/>
                    <w:rPr>
                      <w:rFonts w:hint="eastAsia"/>
                      <w:szCs w:val="21"/>
                    </w:rPr>
                  </w:pPr>
                  <w:r>
                    <w:rPr>
                      <w:rFonts w:hint="eastAsia"/>
                      <w:szCs w:val="21"/>
                    </w:rPr>
                    <w:t>在采取上述措施后，对水生生物的不利影响能够得到缓解和控制，不会造成原有珍稀濒危保护、区域特有或重要经济水生生物在相关河段消失，对相关河段水生生态系统造成重大不利影响。</w:t>
                  </w:r>
                </w:p>
              </w:tc>
              <w:tc>
                <w:tcPr>
                  <w:tcW w:w="1847" w:type="pct"/>
                  <w:noWrap w:val="0"/>
                  <w:vAlign w:val="center"/>
                </w:tcPr>
                <w:p>
                  <w:pPr>
                    <w:widowControl/>
                    <w:spacing w:line="360" w:lineRule="auto"/>
                    <w:rPr>
                      <w:szCs w:val="21"/>
                    </w:rPr>
                  </w:pPr>
                  <w:r>
                    <w:rPr>
                      <w:rFonts w:hint="eastAsia"/>
                      <w:szCs w:val="21"/>
                    </w:rPr>
                    <w:t>根据调查，项目所在位置及附近河段未发现保护鱼类及其他经济鱼类“三场”。项目属已有泄洪闸除险加固，运行期泄洪闸仅在灌区渠首枢纽引水时（农业灌溉）进行部分闸门关闭或全关闭，引水时间相对较短，大部分时间泄洪闸为敞开状态，现有工程防洪标准和调度运行方式不变，基本上不会对鱼类等水生生物的洄游通道及“三场”等重要生境、物种多样性及资源量等产生不利影响。根据省政府已批复的《呼兰河生态流量保障方案》可知，《方案》考虑了呼兰河干流沿线灌区取水，其中将包括永安渠首枢纽所在河流断面上的永安灌区取水口作为管理断面和监测对象，统筹考虑了上、下游河道水环境、水生生态等生态用水及生产、生活用水，永安灌区已依法取得主管部门颁发的取水许可。泄洪闸除险加固不改变现有农业灌溉引水量，通过主管部门调度及监管，项目不影响生态流量。在采取上述措施后，对水生生物的不利影响能够得到缓解和控制，不会对相关河段水生生态系统造成重大不利影响。综上，本项目建设与第五条是相符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6</w:t>
                  </w:r>
                </w:p>
              </w:tc>
              <w:tc>
                <w:tcPr>
                  <w:tcW w:w="2726" w:type="pct"/>
                  <w:noWrap w:val="0"/>
                  <w:vAlign w:val="center"/>
                </w:tcPr>
                <w:p>
                  <w:pPr>
                    <w:widowControl/>
                    <w:spacing w:line="360" w:lineRule="auto"/>
                    <w:rPr>
                      <w:rFonts w:hint="eastAsia"/>
                      <w:szCs w:val="21"/>
                    </w:rPr>
                  </w:pPr>
                  <w:r>
                    <w:rPr>
                      <w:rFonts w:hint="eastAsia"/>
                      <w:szCs w:val="21"/>
                    </w:rPr>
                    <w:t>项目对湿地生态系统结构和功能、河湖生态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w:t>
                  </w:r>
                </w:p>
                <w:p>
                  <w:pPr>
                    <w:widowControl/>
                    <w:spacing w:line="360" w:lineRule="auto"/>
                    <w:rPr>
                      <w:rFonts w:hint="eastAsia"/>
                    </w:rPr>
                  </w:pPr>
                  <w:r>
                    <w:rPr>
                      <w:rFonts w:hint="eastAsia"/>
                      <w:szCs w:val="21"/>
                    </w:rPr>
                    <w:t>在采取上述措施后，对湿地以及陆生动植物的不利影响能够得到缓解和控制，与区域景观相协调，不会造成原有珍稀濒危保护动植物在相关区域消失，不会对陆生生态系统造成重大不利影响。</w:t>
                  </w:r>
                </w:p>
              </w:tc>
              <w:tc>
                <w:tcPr>
                  <w:tcW w:w="1847" w:type="pct"/>
                  <w:noWrap w:val="0"/>
                  <w:vAlign w:val="center"/>
                </w:tcPr>
                <w:p>
                  <w:pPr>
                    <w:widowControl/>
                    <w:spacing w:line="360" w:lineRule="auto"/>
                    <w:rPr>
                      <w:szCs w:val="21"/>
                    </w:rPr>
                  </w:pPr>
                  <w:r>
                    <w:rPr>
                      <w:rFonts w:hint="eastAsia"/>
                      <w:szCs w:val="21"/>
                    </w:rPr>
                    <w:t>本项目建设占地范围不占用湿地。设计过程中提出了优化工程设计，针对临时占地要求施工结束后，及时进行植被恢复，项目不会对陆生生态系统造成重大不利影响，综上，本项目建设与第六条是相符合的。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7</w:t>
                  </w:r>
                </w:p>
              </w:tc>
              <w:tc>
                <w:tcPr>
                  <w:tcW w:w="2726" w:type="pct"/>
                  <w:noWrap w:val="0"/>
                  <w:vAlign w:val="center"/>
                </w:tcPr>
                <w:p>
                  <w:pPr>
                    <w:widowControl/>
                    <w:spacing w:line="360" w:lineRule="auto"/>
                    <w:rPr>
                      <w:rFonts w:hint="eastAsia"/>
                      <w:szCs w:val="21"/>
                    </w:rPr>
                  </w:pPr>
                  <w:r>
                    <w:rPr>
                      <w:rFonts w:hint="eastAsia"/>
                      <w:szCs w:val="21"/>
                    </w:rPr>
                    <w:t>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p>
                <w:p>
                  <w:pPr>
                    <w:widowControl/>
                    <w:spacing w:line="360" w:lineRule="auto"/>
                    <w:rPr>
                      <w:rFonts w:hint="eastAsia"/>
                      <w:szCs w:val="21"/>
                    </w:rPr>
                  </w:pPr>
                  <w:r>
                    <w:rPr>
                      <w:rFonts w:hint="eastAsia"/>
                      <w:szCs w:val="21"/>
                    </w:rPr>
                    <w:t>在采取上述措施后，施工期的不利环境影响能够得到缓解和控制，不会对周围环境和敏感保护目标造成重大不利影响。</w:t>
                  </w:r>
                </w:p>
              </w:tc>
              <w:tc>
                <w:tcPr>
                  <w:tcW w:w="1847" w:type="pct"/>
                  <w:noWrap w:val="0"/>
                  <w:vAlign w:val="center"/>
                </w:tcPr>
                <w:p>
                  <w:pPr>
                    <w:widowControl/>
                    <w:spacing w:line="360" w:lineRule="auto"/>
                    <w:rPr>
                      <w:szCs w:val="21"/>
                    </w:rPr>
                  </w:pPr>
                  <w:r>
                    <w:rPr>
                      <w:rFonts w:hint="eastAsia"/>
                      <w:szCs w:val="21"/>
                    </w:rPr>
                    <w:t>本项目不设料场和弃渣场，临时生产生活区不占自然保护区等环境敏感区；针对临时生产生活区占地前进行表土剥离、并采用水保措施，临时占地待施工结束后进行植被恢复。对施工期各类废（污）水、扬尘、废气、噪声、固体废物等提出了防治或处置措施，还提出了水生态保护措施，通过采取各项环保措施后，施工期的不利环境影响能够得到缓解和控制，综上，本项目建设与第七条是相符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8</w:t>
                  </w:r>
                </w:p>
              </w:tc>
              <w:tc>
                <w:tcPr>
                  <w:tcW w:w="2726" w:type="pct"/>
                  <w:noWrap w:val="0"/>
                  <w:vAlign w:val="center"/>
                </w:tcPr>
                <w:p>
                  <w:pPr>
                    <w:widowControl/>
                    <w:spacing w:line="360" w:lineRule="auto"/>
                    <w:rPr>
                      <w:rFonts w:hint="eastAsia"/>
                      <w:szCs w:val="21"/>
                    </w:rPr>
                  </w:pPr>
                  <w:r>
                    <w:rPr>
                      <w:rFonts w:hint="eastAsia"/>
                      <w:szCs w:val="21"/>
                    </w:rPr>
                    <w:t>项目移民安置的选址和建设方式具有环境合理性，提出了生态保护、污水处理、固体废物处置等措施。</w:t>
                  </w:r>
                </w:p>
                <w:p>
                  <w:pPr>
                    <w:widowControl/>
                    <w:spacing w:line="360" w:lineRule="auto"/>
                    <w:rPr>
                      <w:rFonts w:hint="eastAsia"/>
                      <w:szCs w:val="21"/>
                    </w:rPr>
                  </w:pPr>
                  <w:r>
                    <w:rPr>
                      <w:rFonts w:hint="eastAsia"/>
                      <w:szCs w:val="21"/>
                    </w:rPr>
                    <w:t>针对蓄滞洪区的环境污染、新增占地涉及污染场地等，提出了环境管理对策建议</w:t>
                  </w:r>
                  <w:r>
                    <w:rPr>
                      <w:rFonts w:hint="eastAsia"/>
                      <w:szCs w:val="21"/>
                    </w:rPr>
                    <w:cr/>
                  </w:r>
                </w:p>
              </w:tc>
              <w:tc>
                <w:tcPr>
                  <w:tcW w:w="1847" w:type="pct"/>
                  <w:noWrap w:val="0"/>
                  <w:vAlign w:val="center"/>
                </w:tcPr>
                <w:p>
                  <w:pPr>
                    <w:widowControl/>
                    <w:spacing w:line="360" w:lineRule="auto"/>
                    <w:rPr>
                      <w:szCs w:val="21"/>
                    </w:rPr>
                  </w:pPr>
                  <w:r>
                    <w:rPr>
                      <w:rFonts w:hint="eastAsia"/>
                      <w:szCs w:val="21"/>
                    </w:rPr>
                    <w:t>本项目不涉及移民安置，不涉及生态保护和污水处理等问题。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9</w:t>
                  </w:r>
                </w:p>
              </w:tc>
              <w:tc>
                <w:tcPr>
                  <w:tcW w:w="2726" w:type="pct"/>
                  <w:noWrap w:val="0"/>
                  <w:vAlign w:val="center"/>
                </w:tcPr>
                <w:p>
                  <w:pPr>
                    <w:widowControl/>
                    <w:spacing w:line="360" w:lineRule="auto"/>
                    <w:rPr>
                      <w:rFonts w:hint="eastAsia"/>
                      <w:szCs w:val="21"/>
                    </w:rPr>
                  </w:pPr>
                  <w:r>
                    <w:rPr>
                      <w:rFonts w:hint="eastAsia"/>
                      <w:szCs w:val="21"/>
                    </w:rPr>
                    <w:t>项目存在河湖水质污染、富营养化或外来物种入侵等环境风险的，提出了针对性的风险防范措施以及环境应急预案编制、建立必要的应急联动机制等要求。</w:t>
                  </w:r>
                </w:p>
              </w:tc>
              <w:tc>
                <w:tcPr>
                  <w:tcW w:w="1847" w:type="pct"/>
                  <w:noWrap w:val="0"/>
                  <w:vAlign w:val="center"/>
                </w:tcPr>
                <w:p>
                  <w:pPr>
                    <w:widowControl/>
                    <w:spacing w:line="360" w:lineRule="auto"/>
                    <w:rPr>
                      <w:szCs w:val="21"/>
                    </w:rPr>
                  </w:pPr>
                  <w:r>
                    <w:rPr>
                      <w:rFonts w:hint="eastAsia"/>
                      <w:szCs w:val="21"/>
                    </w:rPr>
                    <w:t>本项目不存在河湖水质污染、富营养化或外来物种入侵等环境风险，施工期生产生活废污水已通过提出和落实水处理措施进行处理，避免对河流水环境产生影响，运行期，泄洪闸本身不排放污染物。综上，本项目建设与第九条是相符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10</w:t>
                  </w:r>
                </w:p>
              </w:tc>
              <w:tc>
                <w:tcPr>
                  <w:tcW w:w="2726" w:type="pct"/>
                  <w:noWrap w:val="0"/>
                  <w:vAlign w:val="center"/>
                </w:tcPr>
                <w:p>
                  <w:pPr>
                    <w:widowControl/>
                    <w:spacing w:line="360" w:lineRule="auto"/>
                    <w:rPr>
                      <w:rFonts w:hint="eastAsia"/>
                      <w:szCs w:val="21"/>
                    </w:rPr>
                  </w:pPr>
                  <w:r>
                    <w:rPr>
                      <w:rFonts w:hint="eastAsia"/>
                      <w:szCs w:val="21"/>
                    </w:rPr>
                    <w:t>改、扩建项目在全面梳理了与项目有关的现有工程环境问题基础上，提出了与项目相适应的“</w:t>
                  </w:r>
                  <w:r>
                    <w:rPr>
                      <w:rFonts w:hint="eastAsia"/>
                      <w:szCs w:val="21"/>
                    </w:rPr>
                    <w:cr/>
                  </w:r>
                  <w:r>
                    <w:rPr>
                      <w:rFonts w:hint="eastAsia"/>
                      <w:szCs w:val="21"/>
                    </w:rPr>
                    <w:t>新带老”</w:t>
                  </w:r>
                  <w:r>
                    <w:rPr>
                      <w:rFonts w:hint="eastAsia"/>
                      <w:szCs w:val="21"/>
                    </w:rPr>
                    <w:cr/>
                  </w:r>
                  <w:r>
                    <w:rPr>
                      <w:rFonts w:hint="eastAsia"/>
                      <w:szCs w:val="21"/>
                    </w:rPr>
                    <w:t>施。</w:t>
                  </w:r>
                </w:p>
              </w:tc>
              <w:tc>
                <w:tcPr>
                  <w:tcW w:w="1847" w:type="pct"/>
                  <w:noWrap w:val="0"/>
                  <w:vAlign w:val="center"/>
                </w:tcPr>
                <w:p>
                  <w:pPr>
                    <w:widowControl/>
                    <w:spacing w:line="360" w:lineRule="auto"/>
                    <w:rPr>
                      <w:szCs w:val="21"/>
                    </w:rPr>
                  </w:pPr>
                  <w:r>
                    <w:rPr>
                      <w:rFonts w:hint="eastAsia"/>
                      <w:szCs w:val="21"/>
                    </w:rPr>
                    <w:t>本项目通过本次泄洪闸除险加固，防洪标准不变，可以保障防洪工程正常发挥效益，可以减少因洪水导致的水土流失，格宾石笼护底或护砌属生态型，保护河岸河床，也可以减少水土流失。综上，本项目建设与第十条是相符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11</w:t>
                  </w:r>
                </w:p>
              </w:tc>
              <w:tc>
                <w:tcPr>
                  <w:tcW w:w="2726" w:type="pct"/>
                  <w:noWrap w:val="0"/>
                  <w:vAlign w:val="center"/>
                </w:tcPr>
                <w:p>
                  <w:pPr>
                    <w:widowControl/>
                    <w:spacing w:line="360" w:lineRule="auto"/>
                    <w:rPr>
                      <w:rFonts w:hint="eastAsia"/>
                      <w:szCs w:val="21"/>
                    </w:rPr>
                  </w:pPr>
                  <w:r>
                    <w:rPr>
                      <w:rFonts w:hint="eastAsia"/>
                      <w:szCs w:val="21"/>
                    </w:rPr>
                    <w:t>按相关导则及规定要求，制定了水环境、生态等环境监测计划，明确了监测网点、因子、频次等有关要求，提出了开展环境影响后评价及根据监测评价</w:t>
                  </w:r>
                  <w:r>
                    <w:rPr>
                      <w:rFonts w:hint="eastAsia"/>
                      <w:szCs w:val="21"/>
                    </w:rPr>
                    <w:cr/>
                  </w:r>
                  <w:r>
                    <w:rPr>
                      <w:rFonts w:hint="eastAsia"/>
                      <w:szCs w:val="21"/>
                    </w:rPr>
                    <w:t>结果优化环境保护措施的要求。根据需要和相关规定，提出了环境保护设计、开展相关科学研究、环境管理</w:t>
                  </w:r>
                  <w:r>
                    <w:rPr>
                      <w:rFonts w:hint="eastAsia"/>
                      <w:szCs w:val="21"/>
                    </w:rPr>
                    <w:cr/>
                  </w:r>
                  <w:r>
                    <w:rPr>
                      <w:rFonts w:hint="eastAsia"/>
                      <w:szCs w:val="21"/>
                    </w:rPr>
                    <w:t>等要求。</w:t>
                  </w:r>
                </w:p>
              </w:tc>
              <w:tc>
                <w:tcPr>
                  <w:tcW w:w="1847" w:type="pct"/>
                  <w:noWrap w:val="0"/>
                  <w:vAlign w:val="center"/>
                </w:tcPr>
                <w:p>
                  <w:pPr>
                    <w:widowControl/>
                    <w:spacing w:line="360" w:lineRule="auto"/>
                    <w:rPr>
                      <w:szCs w:val="21"/>
                    </w:rPr>
                  </w:pPr>
                  <w:r>
                    <w:rPr>
                      <w:rFonts w:hint="eastAsia"/>
                      <w:szCs w:val="21"/>
                    </w:rPr>
                    <w:t>本项目针对工程特点，提出了施工期环保措施，制定了施工期水环境监测计划，给出了因子和频次要求，综上，本项目建设与第十一条是相符合的。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12</w:t>
                  </w:r>
                </w:p>
              </w:tc>
              <w:tc>
                <w:tcPr>
                  <w:tcW w:w="2726" w:type="pct"/>
                  <w:noWrap w:val="0"/>
                  <w:vAlign w:val="center"/>
                </w:tcPr>
                <w:p>
                  <w:pPr>
                    <w:widowControl/>
                    <w:spacing w:line="360" w:lineRule="auto"/>
                    <w:rPr>
                      <w:rFonts w:hint="eastAsia"/>
                      <w:szCs w:val="21"/>
                    </w:rPr>
                  </w:pPr>
                  <w:r>
                    <w:rPr>
                      <w:rFonts w:hint="eastAsia"/>
                      <w:szCs w:val="21"/>
                    </w:rPr>
                    <w:t>对环境保护措施进行了深入论证，建设单位主体责任、投资估算、时间节点、预期效果明确，确保科学有效、安全可行、绿色协调。</w:t>
                  </w:r>
                </w:p>
              </w:tc>
              <w:tc>
                <w:tcPr>
                  <w:tcW w:w="1847" w:type="pct"/>
                  <w:noWrap w:val="0"/>
                  <w:vAlign w:val="center"/>
                </w:tcPr>
                <w:p>
                  <w:pPr>
                    <w:widowControl/>
                    <w:spacing w:line="360" w:lineRule="auto"/>
                    <w:rPr>
                      <w:szCs w:val="21"/>
                    </w:rPr>
                  </w:pPr>
                  <w:r>
                    <w:rPr>
                      <w:rFonts w:hint="eastAsia"/>
                      <w:szCs w:val="21"/>
                    </w:rPr>
                    <w:t>本项目根据工程特点，提出施工期各项环保措施，并给出投资估算，明确建设单位责任等，综上，本项目建设与第十二条是相符合的。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13</w:t>
                  </w:r>
                </w:p>
              </w:tc>
              <w:tc>
                <w:tcPr>
                  <w:tcW w:w="2726" w:type="pct"/>
                  <w:noWrap w:val="0"/>
                  <w:vAlign w:val="center"/>
                </w:tcPr>
                <w:p>
                  <w:pPr>
                    <w:widowControl/>
                    <w:spacing w:line="360" w:lineRule="auto"/>
                    <w:rPr>
                      <w:rFonts w:hint="eastAsia"/>
                      <w:szCs w:val="21"/>
                    </w:rPr>
                  </w:pPr>
                  <w:r>
                    <w:rPr>
                      <w:rFonts w:hint="eastAsia"/>
                      <w:szCs w:val="21"/>
                    </w:rPr>
                    <w:t>按相关规定开展了信息公开和公众参与。</w:t>
                  </w:r>
                </w:p>
              </w:tc>
              <w:tc>
                <w:tcPr>
                  <w:tcW w:w="1847" w:type="pct"/>
                  <w:noWrap w:val="0"/>
                  <w:vAlign w:val="center"/>
                </w:tcPr>
                <w:p>
                  <w:pPr>
                    <w:widowControl/>
                    <w:spacing w:line="360" w:lineRule="auto"/>
                    <w:rPr>
                      <w:szCs w:val="21"/>
                    </w:rPr>
                  </w:pPr>
                  <w:r>
                    <w:rPr>
                      <w:rFonts w:hint="eastAsia"/>
                      <w:szCs w:val="21"/>
                    </w:rPr>
                    <w:t>属环评报告表，且不涉及可能造成不良环境影响并直接涉及公众环境权益的问题，因此不需要开展信息公开和公众参与。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noWrap w:val="0"/>
                  <w:vAlign w:val="center"/>
                </w:tcPr>
                <w:p>
                  <w:pPr>
                    <w:widowControl/>
                    <w:jc w:val="center"/>
                    <w:rPr>
                      <w:rFonts w:hint="eastAsia"/>
                      <w:szCs w:val="21"/>
                    </w:rPr>
                  </w:pPr>
                  <w:r>
                    <w:rPr>
                      <w:rFonts w:hint="eastAsia"/>
                      <w:szCs w:val="21"/>
                    </w:rPr>
                    <w:t>14</w:t>
                  </w:r>
                </w:p>
              </w:tc>
              <w:tc>
                <w:tcPr>
                  <w:tcW w:w="2726" w:type="pct"/>
                  <w:noWrap w:val="0"/>
                  <w:vAlign w:val="center"/>
                </w:tcPr>
                <w:p>
                  <w:pPr>
                    <w:widowControl/>
                    <w:spacing w:line="360" w:lineRule="auto"/>
                    <w:rPr>
                      <w:rFonts w:hint="eastAsia"/>
                      <w:szCs w:val="21"/>
                    </w:rPr>
                  </w:pPr>
                  <w:r>
                    <w:rPr>
                      <w:rFonts w:hint="eastAsia"/>
                      <w:szCs w:val="21"/>
                    </w:rPr>
                    <w:t>环境影响评价文件编制规范，符合相关管理规定和环评技术标准要求。</w:t>
                  </w:r>
                </w:p>
              </w:tc>
              <w:tc>
                <w:tcPr>
                  <w:tcW w:w="1847" w:type="pct"/>
                  <w:noWrap w:val="0"/>
                  <w:vAlign w:val="center"/>
                </w:tcPr>
                <w:p>
                  <w:pPr>
                    <w:widowControl/>
                    <w:spacing w:line="360" w:lineRule="auto"/>
                    <w:rPr>
                      <w:szCs w:val="21"/>
                    </w:rPr>
                  </w:pPr>
                  <w:r>
                    <w:rPr>
                      <w:rFonts w:hint="eastAsia"/>
                      <w:szCs w:val="21"/>
                    </w:rPr>
                    <w:t>环境影响评价文件编制规范，符合相关管理规定和环评技术标准要求。</w:t>
                  </w:r>
                </w:p>
              </w:tc>
            </w:tr>
          </w:tbl>
          <w:p>
            <w:pPr>
              <w:widowControl/>
              <w:spacing w:line="360" w:lineRule="auto"/>
              <w:jc w:val="left"/>
              <w:rPr>
                <w:rFonts w:hint="eastAsia"/>
                <w:sz w:val="24"/>
              </w:rPr>
            </w:pPr>
          </w:p>
          <w:p>
            <w:pPr>
              <w:spacing w:line="360" w:lineRule="auto"/>
              <w:ind w:firstLine="480" w:firstLineChars="200"/>
              <w:outlineLvl w:val="3"/>
              <w:rPr>
                <w:rFonts w:hint="eastAsia"/>
                <w:bCs/>
                <w:sz w:val="24"/>
              </w:rPr>
            </w:pPr>
          </w:p>
          <w:p>
            <w:pPr>
              <w:spacing w:line="360" w:lineRule="auto"/>
              <w:ind w:firstLine="480" w:firstLineChars="200"/>
              <w:outlineLvl w:val="3"/>
              <w:rPr>
                <w:rFonts w:hint="eastAsia"/>
                <w:bCs/>
                <w:sz w:val="24"/>
              </w:rPr>
            </w:pPr>
          </w:p>
          <w:p>
            <w:pPr>
              <w:spacing w:line="360" w:lineRule="auto"/>
              <w:ind w:firstLine="480" w:firstLineChars="200"/>
              <w:outlineLvl w:val="3"/>
              <w:rPr>
                <w:rFonts w:hint="eastAsia"/>
                <w:bCs/>
                <w:sz w:val="24"/>
              </w:rPr>
            </w:pPr>
          </w:p>
          <w:p>
            <w:pPr>
              <w:widowControl/>
              <w:jc w:val="left"/>
            </w:pPr>
          </w:p>
        </w:tc>
      </w:tr>
    </w:tbl>
    <w:p>
      <w:pPr>
        <w:spacing w:line="360" w:lineRule="auto"/>
        <w:outlineLvl w:val="0"/>
        <w:rPr>
          <w:rFonts w:eastAsia="黑体"/>
          <w:sz w:val="30"/>
        </w:rPr>
        <w:sectPr>
          <w:footerReference r:id="rId6" w:type="default"/>
          <w:pgSz w:w="11906" w:h="16838"/>
          <w:pgMar w:top="1701" w:right="1531" w:bottom="1701" w:left="1531" w:header="851" w:footer="1077" w:gutter="0"/>
          <w:pgNumType w:start="1"/>
          <w:cols w:space="720" w:num="1"/>
          <w:docGrid w:linePitch="312" w:charSpace="0"/>
        </w:sectPr>
      </w:pPr>
    </w:p>
    <w:p>
      <w:pPr>
        <w:pStyle w:val="12"/>
        <w:jc w:val="center"/>
        <w:outlineLvl w:val="0"/>
        <w:rPr>
          <w:rFonts w:ascii="黑体" w:hAnsi="黑体" w:eastAsia="黑体"/>
          <w:snapToGrid w:val="0"/>
          <w:sz w:val="30"/>
          <w:szCs w:val="30"/>
        </w:rPr>
      </w:pPr>
      <w:bookmarkStart w:id="16" w:name="_Toc138834964"/>
      <w:r>
        <w:rPr>
          <w:rFonts w:hint="eastAsia" w:ascii="黑体" w:hAnsi="黑体" w:eastAsia="黑体"/>
          <w:snapToGrid w:val="0"/>
          <w:sz w:val="30"/>
          <w:szCs w:val="30"/>
        </w:rPr>
        <w:t>二、建设内容</w:t>
      </w:r>
      <w:bookmarkEnd w:id="16"/>
    </w:p>
    <w:tbl>
      <w:tblPr>
        <w:tblStyle w:val="14"/>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83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710" w:type="dxa"/>
            <w:noWrap w:val="0"/>
            <w:vAlign w:val="center"/>
          </w:tcPr>
          <w:p>
            <w:pPr>
              <w:adjustRightInd w:val="0"/>
              <w:snapToGrid w:val="0"/>
              <w:jc w:val="center"/>
              <w:rPr>
                <w:rFonts w:ascii="宋体" w:hAnsi="宋体" w:cs="宋体"/>
                <w:kern w:val="0"/>
                <w:sz w:val="24"/>
              </w:rPr>
            </w:pPr>
            <w:r>
              <w:rPr>
                <w:rFonts w:hint="eastAsia" w:ascii="宋体" w:hAnsi="宋体" w:cs="宋体"/>
                <w:kern w:val="0"/>
                <w:sz w:val="24"/>
              </w:rPr>
              <w:t>地理位置</w:t>
            </w:r>
          </w:p>
        </w:tc>
        <w:tc>
          <w:tcPr>
            <w:tcW w:w="8380" w:type="dxa"/>
            <w:noWrap w:val="0"/>
            <w:vAlign w:val="center"/>
          </w:tcPr>
          <w:p>
            <w:pPr>
              <w:spacing w:line="360" w:lineRule="auto"/>
              <w:ind w:firstLine="480" w:firstLineChars="200"/>
            </w:pPr>
            <w:r>
              <w:rPr>
                <w:rFonts w:hint="eastAsia"/>
                <w:bCs/>
                <w:sz w:val="24"/>
              </w:rPr>
              <w:t>本工程全部位于绥化市北林区境内，在北林区新华乡红星村北偏东约6km处。工程地理坐标为：E126°53'24.621"，N</w:t>
            </w:r>
            <w:r>
              <w:rPr>
                <w:bCs/>
                <w:sz w:val="24"/>
              </w:rPr>
              <w:t>46°44'57.312</w:t>
            </w:r>
            <w:r>
              <w:rPr>
                <w:rFonts w:hint="eastAsia"/>
                <w:bCs/>
                <w:sz w:val="24"/>
                <w:lang w:eastAsia="zh-CN"/>
              </w:rPr>
              <w:t>”。</w:t>
            </w:r>
            <w:r>
              <w:rPr>
                <w:rFonts w:hint="eastAsia"/>
                <w:bCs/>
                <w:sz w:val="24"/>
              </w:rPr>
              <w:t>工程地理位置见附图1。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10" w:type="dxa"/>
            <w:noWrap w:val="0"/>
            <w:vAlign w:val="center"/>
          </w:tcPr>
          <w:p>
            <w:pPr>
              <w:adjustRightInd w:val="0"/>
              <w:snapToGrid w:val="0"/>
              <w:jc w:val="center"/>
              <w:rPr>
                <w:rFonts w:ascii="宋体" w:hAnsi="宋体" w:cs="宋体"/>
                <w:kern w:val="0"/>
                <w:sz w:val="24"/>
              </w:rPr>
            </w:pPr>
            <w:r>
              <w:rPr>
                <w:rFonts w:hint="eastAsia" w:ascii="宋体" w:hAnsi="宋体" w:cs="宋体"/>
                <w:kern w:val="0"/>
                <w:sz w:val="24"/>
              </w:rPr>
              <w:t>项目组成及规模</w:t>
            </w:r>
          </w:p>
        </w:tc>
        <w:tc>
          <w:tcPr>
            <w:tcW w:w="8380" w:type="dxa"/>
            <w:noWrap w:val="0"/>
            <w:vAlign w:val="center"/>
          </w:tcPr>
          <w:p>
            <w:pPr>
              <w:spacing w:line="360" w:lineRule="auto"/>
              <w:ind w:firstLine="480" w:firstLineChars="200"/>
              <w:outlineLvl w:val="3"/>
              <w:rPr>
                <w:bCs/>
                <w:sz w:val="24"/>
              </w:rPr>
            </w:pPr>
            <w:r>
              <w:rPr>
                <w:bCs/>
                <w:sz w:val="24"/>
              </w:rPr>
              <w:t>（1）工程任务</w:t>
            </w:r>
          </w:p>
          <w:p>
            <w:pPr>
              <w:spacing w:line="360" w:lineRule="auto"/>
              <w:ind w:firstLine="480" w:firstLineChars="200"/>
              <w:rPr>
                <w:rFonts w:hint="eastAsia"/>
                <w:bCs/>
                <w:sz w:val="24"/>
              </w:rPr>
            </w:pPr>
            <w:r>
              <w:rPr>
                <w:rFonts w:hint="eastAsia"/>
                <w:bCs/>
                <w:sz w:val="24"/>
              </w:rPr>
              <w:t>永安灌区渠首枢纽泄洪闸为永安灌区渠首枢纽工程的主要组成部分，依据绥化市水务局印发的《绥化市永安灌区渠首枢纽泄洪闸安全鉴定报告书》，通过本次除险加固，保证泄洪能力，减轻防洪压力。</w:t>
            </w:r>
          </w:p>
          <w:p>
            <w:pPr>
              <w:spacing w:line="360" w:lineRule="auto"/>
              <w:ind w:firstLine="480" w:firstLineChars="200"/>
              <w:outlineLvl w:val="3"/>
              <w:rPr>
                <w:rFonts w:hint="eastAsia"/>
                <w:bCs/>
                <w:sz w:val="24"/>
              </w:rPr>
            </w:pPr>
            <w:r>
              <w:rPr>
                <w:bCs/>
                <w:sz w:val="24"/>
              </w:rPr>
              <w:t>（2）工程</w:t>
            </w:r>
            <w:r>
              <w:rPr>
                <w:rFonts w:hint="eastAsia"/>
                <w:bCs/>
                <w:sz w:val="24"/>
              </w:rPr>
              <w:t>等级（规模）</w:t>
            </w:r>
          </w:p>
          <w:p>
            <w:pPr>
              <w:spacing w:line="360" w:lineRule="auto"/>
              <w:ind w:firstLine="480" w:firstLineChars="200"/>
              <w:outlineLvl w:val="3"/>
              <w:rPr>
                <w:rFonts w:hint="eastAsia"/>
                <w:bCs/>
                <w:sz w:val="24"/>
              </w:rPr>
            </w:pPr>
            <w:r>
              <w:rPr>
                <w:rFonts w:hint="eastAsia"/>
                <w:bCs/>
                <w:sz w:val="24"/>
              </w:rPr>
              <w:t>泄洪闸除险加固后，泄洪闸等别仍然为Ⅲ等3级建筑物，防洪标准为20年一遇洪水设计，100年一遇洪水校核。</w:t>
            </w:r>
          </w:p>
          <w:p>
            <w:pPr>
              <w:spacing w:line="360" w:lineRule="auto"/>
              <w:ind w:firstLine="480" w:firstLineChars="200"/>
              <w:outlineLvl w:val="3"/>
              <w:rPr>
                <w:rFonts w:hint="eastAsia"/>
                <w:bCs/>
                <w:sz w:val="24"/>
              </w:rPr>
            </w:pPr>
            <w:r>
              <w:rPr>
                <w:bCs/>
                <w:sz w:val="24"/>
              </w:rPr>
              <w:t>（</w:t>
            </w:r>
            <w:r>
              <w:rPr>
                <w:rFonts w:hint="eastAsia"/>
                <w:bCs/>
                <w:sz w:val="24"/>
              </w:rPr>
              <w:t>3</w:t>
            </w:r>
            <w:r>
              <w:rPr>
                <w:bCs/>
                <w:sz w:val="24"/>
              </w:rPr>
              <w:t>）工程组成</w:t>
            </w:r>
          </w:p>
          <w:p>
            <w:pPr>
              <w:pStyle w:val="39"/>
              <w:spacing w:line="360" w:lineRule="auto"/>
              <w:ind w:firstLine="480"/>
              <w:jc w:val="both"/>
              <w:rPr>
                <w:rFonts w:hint="eastAsia"/>
                <w:sz w:val="24"/>
                <w:szCs w:val="24"/>
              </w:rPr>
            </w:pPr>
            <w:r>
              <w:rPr>
                <w:rFonts w:hint="eastAsia"/>
                <w:bCs w:val="0"/>
                <w:sz w:val="24"/>
                <w:szCs w:val="24"/>
              </w:rPr>
              <w:t>本次工程针对现有泄洪闸进行除险加固，主要包括增设二级消力池，拆除重建海漫段，回填下游冲坑；拆除重建进口连接段护砌及上游右侧导流墙一段，回填进口段上游冲坑；对金属结构闸门及埋件除锈及防腐处理、更换闸门止水、建立备用电源；维修泄洪闸及溢流坝混凝土结构存在的裂缝及剥蚀区域；增设安全监测设施及监控感知系统。</w:t>
            </w:r>
            <w:r>
              <w:rPr>
                <w:sz w:val="24"/>
                <w:szCs w:val="24"/>
              </w:rPr>
              <w:t>工程组成</w:t>
            </w:r>
            <w:r>
              <w:rPr>
                <w:rFonts w:hint="eastAsia"/>
                <w:sz w:val="24"/>
                <w:szCs w:val="24"/>
              </w:rPr>
              <w:t>详</w:t>
            </w:r>
            <w:r>
              <w:rPr>
                <w:sz w:val="24"/>
                <w:szCs w:val="24"/>
              </w:rPr>
              <w:t>见表</w:t>
            </w:r>
            <w:r>
              <w:rPr>
                <w:rFonts w:hint="eastAsia"/>
                <w:sz w:val="24"/>
                <w:szCs w:val="24"/>
              </w:rPr>
              <w:t>2-1，</w:t>
            </w:r>
            <w:r>
              <w:rPr>
                <w:sz w:val="24"/>
                <w:szCs w:val="24"/>
              </w:rPr>
              <w:t>工程总平面布置见附图2。</w:t>
            </w:r>
          </w:p>
          <w:p>
            <w:pPr>
              <w:pStyle w:val="39"/>
              <w:spacing w:line="276" w:lineRule="auto"/>
              <w:rPr>
                <w:rFonts w:hint="eastAsia"/>
                <w:sz w:val="24"/>
                <w:szCs w:val="24"/>
              </w:rPr>
            </w:pPr>
            <w:r>
              <w:rPr>
                <w:b/>
                <w:sz w:val="24"/>
                <w:szCs w:val="24"/>
              </w:rPr>
              <w:t>表</w:t>
            </w:r>
            <w:r>
              <w:rPr>
                <w:rFonts w:hint="eastAsia"/>
                <w:b/>
                <w:sz w:val="24"/>
                <w:szCs w:val="24"/>
              </w:rPr>
              <w:t xml:space="preserve">2-1  </w:t>
            </w:r>
            <w:r>
              <w:rPr>
                <w:b/>
                <w:sz w:val="24"/>
                <w:szCs w:val="24"/>
              </w:rPr>
              <w:t>工程组成一览表</w:t>
            </w:r>
          </w:p>
          <w:tbl>
            <w:tblPr>
              <w:tblStyle w:val="14"/>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414"/>
              <w:gridCol w:w="1184"/>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54" w:type="pct"/>
                  <w:gridSpan w:val="2"/>
                  <w:noWrap w:val="0"/>
                  <w:vAlign w:val="center"/>
                </w:tcPr>
                <w:p>
                  <w:pPr>
                    <w:adjustRightInd w:val="0"/>
                    <w:snapToGrid w:val="0"/>
                    <w:jc w:val="center"/>
                    <w:rPr>
                      <w:szCs w:val="21"/>
                    </w:rPr>
                  </w:pPr>
                  <w:r>
                    <w:rPr>
                      <w:szCs w:val="21"/>
                    </w:rPr>
                    <w:t>工程组</w:t>
                  </w:r>
                  <w:r>
                    <w:rPr>
                      <w:rFonts w:hint="eastAsia"/>
                      <w:szCs w:val="21"/>
                    </w:rPr>
                    <w:t>成</w:t>
                  </w:r>
                </w:p>
              </w:tc>
              <w:tc>
                <w:tcPr>
                  <w:tcW w:w="764" w:type="pct"/>
                  <w:noWrap w:val="0"/>
                  <w:vAlign w:val="center"/>
                </w:tcPr>
                <w:p>
                  <w:pPr>
                    <w:adjustRightInd w:val="0"/>
                    <w:snapToGrid w:val="0"/>
                    <w:jc w:val="center"/>
                    <w:rPr>
                      <w:szCs w:val="21"/>
                    </w:rPr>
                  </w:pPr>
                  <w:r>
                    <w:rPr>
                      <w:szCs w:val="21"/>
                    </w:rPr>
                    <w:t>性质</w:t>
                  </w:r>
                </w:p>
              </w:tc>
              <w:tc>
                <w:tcPr>
                  <w:tcW w:w="2882" w:type="pct"/>
                  <w:noWrap w:val="0"/>
                  <w:vAlign w:val="center"/>
                </w:tcPr>
                <w:p>
                  <w:pPr>
                    <w:adjustRightInd w:val="0"/>
                    <w:snapToGrid w:val="0"/>
                    <w:jc w:val="center"/>
                    <w:rPr>
                      <w:szCs w:val="21"/>
                    </w:rPr>
                  </w:pPr>
                  <w:r>
                    <w:rPr>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noWrap w:val="0"/>
                  <w:vAlign w:val="center"/>
                </w:tcPr>
                <w:p>
                  <w:pPr>
                    <w:adjustRightInd w:val="0"/>
                    <w:snapToGrid w:val="0"/>
                    <w:jc w:val="center"/>
                    <w:rPr>
                      <w:szCs w:val="21"/>
                    </w:rPr>
                  </w:pPr>
                  <w:r>
                    <w:rPr>
                      <w:szCs w:val="21"/>
                    </w:rPr>
                    <w:t>主体</w:t>
                  </w:r>
                </w:p>
                <w:p>
                  <w:pPr>
                    <w:adjustRightInd w:val="0"/>
                    <w:snapToGrid w:val="0"/>
                    <w:jc w:val="center"/>
                    <w:rPr>
                      <w:szCs w:val="21"/>
                    </w:rPr>
                  </w:pPr>
                  <w:r>
                    <w:rPr>
                      <w:szCs w:val="21"/>
                    </w:rPr>
                    <w:t>工程</w:t>
                  </w:r>
                </w:p>
              </w:tc>
              <w:tc>
                <w:tcPr>
                  <w:tcW w:w="913" w:type="pct"/>
                  <w:noWrap w:val="0"/>
                  <w:vAlign w:val="center"/>
                </w:tcPr>
                <w:p>
                  <w:pPr>
                    <w:adjustRightInd w:val="0"/>
                    <w:snapToGrid w:val="0"/>
                    <w:jc w:val="center"/>
                    <w:rPr>
                      <w:szCs w:val="21"/>
                    </w:rPr>
                  </w:pPr>
                  <w:r>
                    <w:rPr>
                      <w:rFonts w:hint="eastAsia"/>
                      <w:szCs w:val="21"/>
                    </w:rPr>
                    <w:t>泄洪闸</w:t>
                  </w:r>
                </w:p>
              </w:tc>
              <w:tc>
                <w:tcPr>
                  <w:tcW w:w="764" w:type="pct"/>
                  <w:noWrap w:val="0"/>
                  <w:vAlign w:val="center"/>
                </w:tcPr>
                <w:p>
                  <w:pPr>
                    <w:adjustRightInd w:val="0"/>
                    <w:snapToGrid w:val="0"/>
                    <w:jc w:val="center"/>
                    <w:rPr>
                      <w:szCs w:val="21"/>
                    </w:rPr>
                  </w:pPr>
                  <w:r>
                    <w:rPr>
                      <w:rFonts w:hint="eastAsia"/>
                      <w:szCs w:val="21"/>
                    </w:rPr>
                    <w:t>维修</w:t>
                  </w:r>
                </w:p>
              </w:tc>
              <w:tc>
                <w:tcPr>
                  <w:tcW w:w="2882" w:type="pct"/>
                  <w:noWrap w:val="0"/>
                  <w:vAlign w:val="center"/>
                </w:tcPr>
                <w:p>
                  <w:pPr>
                    <w:adjustRightInd w:val="0"/>
                    <w:snapToGrid w:val="0"/>
                    <w:rPr>
                      <w:rFonts w:hint="eastAsia"/>
                      <w:szCs w:val="21"/>
                    </w:rPr>
                  </w:pPr>
                  <w:r>
                    <w:rPr>
                      <w:rFonts w:hint="eastAsia"/>
                      <w:szCs w:val="21"/>
                    </w:rPr>
                    <w:t>（1）增设二级消力池，拆除重建海漫段，回填下游冲坑。原消力池长18m，本次延长至35m，两侧设悬臂挡土墙，左侧墙顶高程147.40m，右侧墙顶高程143.41m，墙后设置格宾石笼护底；拆除重建下游海漫段，海漫长40m，末端设抛石防冲槽；采用围堰拆除料回填海漫段及下游冲坑，上铺50cm抛石至高程140.40。</w:t>
                  </w:r>
                </w:p>
                <w:p>
                  <w:pPr>
                    <w:adjustRightInd w:val="0"/>
                    <w:snapToGrid w:val="0"/>
                    <w:rPr>
                      <w:rFonts w:hint="eastAsia"/>
                      <w:szCs w:val="21"/>
                    </w:rPr>
                  </w:pPr>
                  <w:r>
                    <w:rPr>
                      <w:rFonts w:hint="eastAsia"/>
                      <w:szCs w:val="21"/>
                    </w:rPr>
                    <w:t>（2）拆除重建进口连接段护砌及上游右侧导流墙一段，回填进口段上游冲坑。进口连接段长13m，采用格宾石笼护砌，下铺砂垫层10cm，土工布一层。导流墙长13m，墙顶高程147.35m，并设格宾石笼护底；采用抛石回填进口段上游冲坑。</w:t>
                  </w:r>
                </w:p>
                <w:p>
                  <w:pPr>
                    <w:adjustRightInd w:val="0"/>
                    <w:snapToGrid w:val="0"/>
                    <w:rPr>
                      <w:rFonts w:hint="eastAsia"/>
                      <w:szCs w:val="21"/>
                    </w:rPr>
                  </w:pPr>
                  <w:r>
                    <w:rPr>
                      <w:rFonts w:hint="eastAsia"/>
                      <w:szCs w:val="21"/>
                    </w:rPr>
                    <w:t>（3）对金属结构闸门及埋件除锈及防腐处理、更换闸门止水、建立备用电源。</w:t>
                  </w:r>
                </w:p>
                <w:p>
                  <w:pPr>
                    <w:adjustRightInd w:val="0"/>
                    <w:snapToGrid w:val="0"/>
                    <w:rPr>
                      <w:rFonts w:hint="eastAsia"/>
                      <w:szCs w:val="21"/>
                    </w:rPr>
                  </w:pPr>
                  <w:r>
                    <w:rPr>
                      <w:rFonts w:hint="eastAsia"/>
                      <w:szCs w:val="21"/>
                    </w:rPr>
                    <w:t>（4）维修泄洪闸及溢流坝混凝土结构存在的裂缝及剥蚀区域。</w:t>
                  </w:r>
                </w:p>
                <w:p>
                  <w:pPr>
                    <w:adjustRightInd w:val="0"/>
                    <w:snapToGrid w:val="0"/>
                    <w:rPr>
                      <w:szCs w:val="21"/>
                    </w:rPr>
                  </w:pPr>
                  <w:r>
                    <w:rPr>
                      <w:rFonts w:hint="eastAsia"/>
                      <w:szCs w:val="21"/>
                    </w:rPr>
                    <w:t>（5）增设安全监测设施及监控感知系统。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noWrap w:val="0"/>
                  <w:vAlign w:val="center"/>
                </w:tcPr>
                <w:p>
                  <w:pPr>
                    <w:adjustRightInd w:val="0"/>
                    <w:snapToGrid w:val="0"/>
                    <w:jc w:val="center"/>
                    <w:rPr>
                      <w:szCs w:val="21"/>
                    </w:rPr>
                  </w:pPr>
                  <w:r>
                    <w:rPr>
                      <w:rFonts w:hint="eastAsia"/>
                      <w:szCs w:val="21"/>
                    </w:rPr>
                    <w:t>辅助工程</w:t>
                  </w:r>
                </w:p>
              </w:tc>
              <w:tc>
                <w:tcPr>
                  <w:tcW w:w="1677" w:type="pct"/>
                  <w:gridSpan w:val="2"/>
                  <w:noWrap w:val="0"/>
                  <w:vAlign w:val="center"/>
                </w:tcPr>
                <w:p>
                  <w:pPr>
                    <w:adjustRightInd w:val="0"/>
                    <w:snapToGrid w:val="0"/>
                    <w:jc w:val="center"/>
                    <w:rPr>
                      <w:szCs w:val="21"/>
                    </w:rPr>
                  </w:pPr>
                  <w:r>
                    <w:rPr>
                      <w:szCs w:val="21"/>
                    </w:rPr>
                    <w:t>施工生产、生活区</w:t>
                  </w:r>
                </w:p>
              </w:tc>
              <w:tc>
                <w:tcPr>
                  <w:tcW w:w="2882" w:type="pct"/>
                  <w:noWrap w:val="0"/>
                  <w:vAlign w:val="center"/>
                </w:tcPr>
                <w:p>
                  <w:pPr>
                    <w:adjustRightInd w:val="0"/>
                    <w:snapToGrid w:val="0"/>
                    <w:jc w:val="left"/>
                  </w:pPr>
                  <w:r>
                    <w:rPr>
                      <w:szCs w:val="21"/>
                    </w:rPr>
                    <w:t>施工期拟设置</w:t>
                  </w:r>
                  <w:r>
                    <w:rPr>
                      <w:rFonts w:hint="eastAsia"/>
                      <w:szCs w:val="21"/>
                    </w:rPr>
                    <w:t>1</w:t>
                  </w:r>
                  <w:r>
                    <w:rPr>
                      <w:szCs w:val="21"/>
                    </w:rPr>
                    <w:t>处施工区、</w:t>
                  </w:r>
                  <w:r>
                    <w:rPr>
                      <w:rFonts w:hint="eastAsia"/>
                      <w:szCs w:val="21"/>
                    </w:rPr>
                    <w:t>1</w:t>
                  </w:r>
                  <w:r>
                    <w:rPr>
                      <w:szCs w:val="21"/>
                    </w:rPr>
                    <w:t>处临时生活区，</w:t>
                  </w:r>
                  <w:r>
                    <w:rPr>
                      <w:rFonts w:hint="eastAsia"/>
                      <w:szCs w:val="21"/>
                    </w:rPr>
                    <w:t>施工生产生活区联合布置，高峰期施工人员大约36人。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pPr>
                    <w:adjustRightInd w:val="0"/>
                    <w:snapToGrid w:val="0"/>
                    <w:jc w:val="center"/>
                    <w:rPr>
                      <w:szCs w:val="21"/>
                    </w:rPr>
                  </w:pPr>
                </w:p>
              </w:tc>
              <w:tc>
                <w:tcPr>
                  <w:tcW w:w="1677" w:type="pct"/>
                  <w:gridSpan w:val="2"/>
                  <w:noWrap w:val="0"/>
                  <w:vAlign w:val="center"/>
                </w:tcPr>
                <w:p>
                  <w:pPr>
                    <w:adjustRightInd w:val="0"/>
                    <w:snapToGrid w:val="0"/>
                    <w:jc w:val="center"/>
                    <w:rPr>
                      <w:szCs w:val="21"/>
                    </w:rPr>
                  </w:pPr>
                  <w:r>
                    <w:rPr>
                      <w:rFonts w:hint="eastAsia"/>
                      <w:szCs w:val="21"/>
                    </w:rPr>
                    <w:t>料场</w:t>
                  </w:r>
                </w:p>
              </w:tc>
              <w:tc>
                <w:tcPr>
                  <w:tcW w:w="2882" w:type="pct"/>
                  <w:noWrap w:val="0"/>
                  <w:vAlign w:val="center"/>
                </w:tcPr>
                <w:p>
                  <w:pPr>
                    <w:widowControl/>
                    <w:jc w:val="left"/>
                    <w:rPr>
                      <w:rFonts w:hint="eastAsia"/>
                    </w:rPr>
                  </w:pPr>
                  <w:r>
                    <w:rPr>
                      <w:rFonts w:hint="eastAsia"/>
                      <w:szCs w:val="21"/>
                    </w:rPr>
                    <w:t>本项目不设料场。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pPr>
                    <w:adjustRightInd w:val="0"/>
                    <w:snapToGrid w:val="0"/>
                    <w:jc w:val="center"/>
                    <w:rPr>
                      <w:szCs w:val="21"/>
                    </w:rPr>
                  </w:pPr>
                </w:p>
              </w:tc>
              <w:tc>
                <w:tcPr>
                  <w:tcW w:w="1677" w:type="pct"/>
                  <w:gridSpan w:val="2"/>
                  <w:noWrap w:val="0"/>
                  <w:vAlign w:val="center"/>
                </w:tcPr>
                <w:p>
                  <w:pPr>
                    <w:adjustRightInd w:val="0"/>
                    <w:snapToGrid w:val="0"/>
                    <w:jc w:val="center"/>
                    <w:rPr>
                      <w:rFonts w:hint="eastAsia"/>
                      <w:szCs w:val="21"/>
                    </w:rPr>
                  </w:pPr>
                  <w:r>
                    <w:rPr>
                      <w:rFonts w:hint="eastAsia"/>
                      <w:szCs w:val="21"/>
                    </w:rPr>
                    <w:t>弃渣场</w:t>
                  </w:r>
                </w:p>
              </w:tc>
              <w:tc>
                <w:tcPr>
                  <w:tcW w:w="2882" w:type="pct"/>
                  <w:noWrap w:val="0"/>
                  <w:vAlign w:val="center"/>
                </w:tcPr>
                <w:p>
                  <w:pPr>
                    <w:rPr>
                      <w:rFonts w:hint="eastAsia"/>
                      <w:szCs w:val="21"/>
                    </w:rPr>
                  </w:pPr>
                  <w:r>
                    <w:rPr>
                      <w:rFonts w:hint="eastAsia"/>
                      <w:szCs w:val="21"/>
                    </w:rPr>
                    <w:t>本项目不设弃渣场。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pPr>
                    <w:adjustRightInd w:val="0"/>
                    <w:snapToGrid w:val="0"/>
                    <w:jc w:val="center"/>
                    <w:rPr>
                      <w:szCs w:val="21"/>
                    </w:rPr>
                  </w:pPr>
                </w:p>
              </w:tc>
              <w:tc>
                <w:tcPr>
                  <w:tcW w:w="1677" w:type="pct"/>
                  <w:gridSpan w:val="2"/>
                  <w:noWrap w:val="0"/>
                  <w:vAlign w:val="center"/>
                </w:tcPr>
                <w:p>
                  <w:pPr>
                    <w:adjustRightInd w:val="0"/>
                    <w:snapToGrid w:val="0"/>
                    <w:jc w:val="center"/>
                    <w:rPr>
                      <w:szCs w:val="21"/>
                    </w:rPr>
                  </w:pPr>
                  <w:r>
                    <w:rPr>
                      <w:rFonts w:hint="eastAsia"/>
                      <w:szCs w:val="21"/>
                    </w:rPr>
                    <w:t>临时道路</w:t>
                  </w:r>
                </w:p>
              </w:tc>
              <w:tc>
                <w:tcPr>
                  <w:tcW w:w="2882" w:type="pct"/>
                  <w:noWrap w:val="0"/>
                  <w:vAlign w:val="center"/>
                </w:tcPr>
                <w:p>
                  <w:pPr>
                    <w:adjustRightInd w:val="0"/>
                    <w:snapToGrid w:val="0"/>
                    <w:jc w:val="left"/>
                    <w:rPr>
                      <w:rFonts w:hint="eastAsia"/>
                      <w:szCs w:val="21"/>
                    </w:rPr>
                  </w:pPr>
                  <w:r>
                    <w:rPr>
                      <w:rFonts w:hint="eastAsia"/>
                      <w:szCs w:val="21"/>
                    </w:rPr>
                    <w:t>对外交通：绥化市永安灌区渠首枢纽周边区域交通发达，道路通畅，主要以公路交通为主，城镇周边有国道G203、S311，G111、S18本工程施工场地与绥化市距离较短，外运材料经S18公路运输至工地。</w:t>
                  </w:r>
                </w:p>
                <w:p>
                  <w:pPr>
                    <w:adjustRightInd w:val="0"/>
                    <w:snapToGrid w:val="0"/>
                    <w:jc w:val="left"/>
                    <w:rPr>
                      <w:szCs w:val="21"/>
                    </w:rPr>
                  </w:pPr>
                  <w:r>
                    <w:rPr>
                      <w:rFonts w:hint="eastAsia"/>
                      <w:szCs w:val="21"/>
                    </w:rPr>
                    <w:t>场内交通：场地内部需要修建部分临时道路作为场地交通道路，本工程维修道路6km。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noWrap w:val="0"/>
                  <w:vAlign w:val="center"/>
                </w:tcPr>
                <w:p>
                  <w:pPr>
                    <w:adjustRightInd w:val="0"/>
                    <w:snapToGrid w:val="0"/>
                    <w:jc w:val="center"/>
                    <w:rPr>
                      <w:szCs w:val="21"/>
                    </w:rPr>
                  </w:pPr>
                  <w:r>
                    <w:rPr>
                      <w:rFonts w:hint="eastAsia"/>
                      <w:szCs w:val="21"/>
                    </w:rPr>
                    <w:t>辅助工程</w:t>
                  </w:r>
                </w:p>
              </w:tc>
              <w:tc>
                <w:tcPr>
                  <w:tcW w:w="1677" w:type="pct"/>
                  <w:gridSpan w:val="2"/>
                  <w:noWrap w:val="0"/>
                  <w:vAlign w:val="center"/>
                </w:tcPr>
                <w:p>
                  <w:pPr>
                    <w:adjustRightInd w:val="0"/>
                    <w:snapToGrid w:val="0"/>
                    <w:jc w:val="center"/>
                    <w:rPr>
                      <w:rFonts w:hint="eastAsia"/>
                      <w:szCs w:val="21"/>
                    </w:rPr>
                  </w:pPr>
                  <w:r>
                    <w:rPr>
                      <w:rFonts w:hint="eastAsia"/>
                      <w:szCs w:val="21"/>
                    </w:rPr>
                    <w:t>建筑材料</w:t>
                  </w:r>
                </w:p>
              </w:tc>
              <w:tc>
                <w:tcPr>
                  <w:tcW w:w="2882" w:type="pct"/>
                  <w:noWrap w:val="0"/>
                  <w:vAlign w:val="center"/>
                </w:tcPr>
                <w:p>
                  <w:pPr>
                    <w:adjustRightInd w:val="0"/>
                    <w:snapToGrid w:val="0"/>
                    <w:jc w:val="left"/>
                    <w:rPr>
                      <w:rFonts w:hint="eastAsia"/>
                      <w:szCs w:val="21"/>
                    </w:rPr>
                  </w:pPr>
                  <w:r>
                    <w:rPr>
                      <w:rFonts w:hint="eastAsia"/>
                      <w:szCs w:val="21"/>
                    </w:rPr>
                    <w:t>本工程所需要的水泥、钢材、木材由北林区采购，通过公路运输至施工场地，距离25km；汽柴油由附近加油站购买，距离25km；砂子由北林区众源公司砂场采购，公路运输至工地20km；碎石、块石庆安县平安镇购置，通过公路运输，距离90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pPr>
                    <w:adjustRightInd w:val="0"/>
                    <w:snapToGrid w:val="0"/>
                    <w:jc w:val="center"/>
                    <w:rPr>
                      <w:rFonts w:hint="eastAsia"/>
                      <w:szCs w:val="21"/>
                    </w:rPr>
                  </w:pPr>
                </w:p>
              </w:tc>
              <w:tc>
                <w:tcPr>
                  <w:tcW w:w="1677" w:type="pct"/>
                  <w:gridSpan w:val="2"/>
                  <w:noWrap w:val="0"/>
                  <w:vAlign w:val="center"/>
                </w:tcPr>
                <w:p>
                  <w:pPr>
                    <w:adjustRightInd w:val="0"/>
                    <w:snapToGrid w:val="0"/>
                    <w:jc w:val="center"/>
                    <w:rPr>
                      <w:rFonts w:hint="eastAsia"/>
                      <w:szCs w:val="21"/>
                    </w:rPr>
                  </w:pPr>
                  <w:r>
                    <w:rPr>
                      <w:rFonts w:hint="eastAsia"/>
                      <w:szCs w:val="21"/>
                    </w:rPr>
                    <w:t>工程占地</w:t>
                  </w:r>
                </w:p>
              </w:tc>
              <w:tc>
                <w:tcPr>
                  <w:tcW w:w="2882" w:type="pct"/>
                  <w:noWrap w:val="0"/>
                  <w:vAlign w:val="center"/>
                </w:tcPr>
                <w:p>
                  <w:pPr>
                    <w:adjustRightInd w:val="0"/>
                    <w:snapToGrid w:val="0"/>
                    <w:jc w:val="left"/>
                    <w:rPr>
                      <w:rFonts w:hint="eastAsia"/>
                      <w:szCs w:val="21"/>
                    </w:rPr>
                  </w:pPr>
                  <w:r>
                    <w:rPr>
                      <w:rFonts w:hint="eastAsia"/>
                      <w:szCs w:val="21"/>
                    </w:rPr>
                    <w:t>工程永久占地为工程轮廓线范围之内的土地。临时用地包括生产生活区占地。</w:t>
                  </w:r>
                </w:p>
                <w:p>
                  <w:pPr>
                    <w:rPr>
                      <w:szCs w:val="21"/>
                    </w:rPr>
                  </w:pPr>
                  <w:r>
                    <w:rPr>
                      <w:rFonts w:hint="eastAsia"/>
                      <w:szCs w:val="21"/>
                    </w:rPr>
                    <w:t>永久占地总面积合计1.56hm</w:t>
                  </w:r>
                  <w:r>
                    <w:rPr>
                      <w:rFonts w:hint="eastAsia"/>
                      <w:szCs w:val="21"/>
                      <w:vertAlign w:val="superscript"/>
                    </w:rPr>
                    <w:t>2</w:t>
                  </w:r>
                  <w:r>
                    <w:rPr>
                      <w:rFonts w:hint="eastAsia"/>
                      <w:szCs w:val="21"/>
                    </w:rPr>
                    <w:t>，</w:t>
                  </w:r>
                  <w:r>
                    <w:t>其中</w:t>
                  </w:r>
                  <w:r>
                    <w:rPr>
                      <w:rFonts w:hint="eastAsia"/>
                    </w:rPr>
                    <w:t>其他草地0.06</w:t>
                  </w:r>
                  <w:r>
                    <w:t>hm</w:t>
                  </w:r>
                  <w:r>
                    <w:rPr>
                      <w:vertAlign w:val="superscript"/>
                    </w:rPr>
                    <w:t>2</w:t>
                  </w:r>
                  <w:r>
                    <w:t>，</w:t>
                  </w:r>
                  <w:r>
                    <w:rPr>
                      <w:rFonts w:hint="eastAsia"/>
                    </w:rPr>
                    <w:t>水工建筑用地0.08</w:t>
                  </w:r>
                  <w:r>
                    <w:t>hm</w:t>
                  </w:r>
                  <w:r>
                    <w:rPr>
                      <w:vertAlign w:val="superscript"/>
                    </w:rPr>
                    <w:t>2</w:t>
                  </w:r>
                  <w:r>
                    <w:rPr>
                      <w:rFonts w:hint="eastAsia"/>
                    </w:rPr>
                    <w:t>，河流水面1.42</w:t>
                  </w:r>
                  <w:r>
                    <w:t>hm</w:t>
                  </w:r>
                  <w:r>
                    <w:rPr>
                      <w:vertAlign w:val="superscript"/>
                    </w:rPr>
                    <w:t>2</w:t>
                  </w:r>
                  <w:r>
                    <w:rPr>
                      <w:rFonts w:hint="eastAsia"/>
                    </w:rPr>
                    <w:t>（水工建筑用地、河流水面均属于水域及水利设施用地，小计为1.50</w:t>
                  </w:r>
                  <w:r>
                    <w:t>hm</w:t>
                  </w:r>
                  <w:r>
                    <w:rPr>
                      <w:vertAlign w:val="superscript"/>
                    </w:rPr>
                    <w:t>2</w:t>
                  </w:r>
                  <w:r>
                    <w:rPr>
                      <w:rFonts w:hint="eastAsia"/>
                    </w:rPr>
                    <w:t>）。</w:t>
                  </w:r>
                </w:p>
                <w:p>
                  <w:pPr>
                    <w:rPr>
                      <w:rFonts w:hint="eastAsia"/>
                      <w:szCs w:val="21"/>
                    </w:rPr>
                  </w:pPr>
                  <w:r>
                    <w:rPr>
                      <w:rFonts w:hint="eastAsia"/>
                      <w:szCs w:val="21"/>
                    </w:rPr>
                    <w:t>临时占地总面积合计0.38hm</w:t>
                  </w:r>
                  <w:r>
                    <w:rPr>
                      <w:rFonts w:hint="eastAsia"/>
                      <w:szCs w:val="21"/>
                      <w:vertAlign w:val="superscript"/>
                    </w:rPr>
                    <w:t>2</w:t>
                  </w:r>
                  <w:r>
                    <w:rPr>
                      <w:rFonts w:hint="eastAsia"/>
                      <w:szCs w:val="21"/>
                    </w:rPr>
                    <w:t>，其中旱田0.11hm</w:t>
                  </w:r>
                  <w:r>
                    <w:rPr>
                      <w:rFonts w:hint="eastAsia"/>
                      <w:szCs w:val="21"/>
                      <w:vertAlign w:val="superscript"/>
                    </w:rPr>
                    <w:t>2</w:t>
                  </w:r>
                  <w:r>
                    <w:rPr>
                      <w:rFonts w:hint="eastAsia"/>
                      <w:szCs w:val="21"/>
                    </w:rPr>
                    <w:t>，其他草地00.27hm</w:t>
                  </w:r>
                  <w:r>
                    <w:rPr>
                      <w:rFonts w:hint="eastAsia"/>
                      <w:szCs w:val="21"/>
                      <w:vertAlign w:val="superscript"/>
                    </w:rPr>
                    <w:t>2</w:t>
                  </w:r>
                  <w:r>
                    <w:rPr>
                      <w:rFonts w:hint="eastAsia"/>
                      <w:szCs w:val="21"/>
                    </w:rPr>
                    <w:t>。</w:t>
                  </w:r>
                </w:p>
                <w:p>
                  <w:pPr>
                    <w:widowControl/>
                    <w:jc w:val="left"/>
                    <w:rPr>
                      <w:rFonts w:hint="eastAsia"/>
                    </w:rPr>
                  </w:pPr>
                  <w:r>
                    <w:rPr>
                      <w:rFonts w:hint="eastAsia"/>
                    </w:rPr>
                    <w:t>项目占地不涉及基本农田</w:t>
                  </w:r>
                  <w:r>
                    <w:rPr>
                      <w:rFonts w:hint="eastAsia"/>
                      <w:kern w:val="0"/>
                      <w:sz w:val="20"/>
                      <w:szCs w:val="20"/>
                    </w:rPr>
                    <w:t>和</w:t>
                  </w:r>
                  <w:r>
                    <w:rPr>
                      <w:rFonts w:hint="eastAsia"/>
                    </w:rPr>
                    <w:t>公益林。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noWrap w:val="0"/>
                  <w:vAlign w:val="center"/>
                </w:tcPr>
                <w:p>
                  <w:pPr>
                    <w:adjustRightInd w:val="0"/>
                    <w:snapToGrid w:val="0"/>
                    <w:jc w:val="center"/>
                    <w:rPr>
                      <w:szCs w:val="21"/>
                    </w:rPr>
                  </w:pPr>
                  <w:r>
                    <w:rPr>
                      <w:rFonts w:hint="eastAsia"/>
                      <w:szCs w:val="21"/>
                    </w:rPr>
                    <w:t>公用工程</w:t>
                  </w:r>
                </w:p>
              </w:tc>
              <w:tc>
                <w:tcPr>
                  <w:tcW w:w="1677" w:type="pct"/>
                  <w:gridSpan w:val="2"/>
                  <w:noWrap w:val="0"/>
                  <w:vAlign w:val="center"/>
                </w:tcPr>
                <w:p>
                  <w:pPr>
                    <w:adjustRightInd w:val="0"/>
                    <w:snapToGrid w:val="0"/>
                    <w:jc w:val="center"/>
                    <w:rPr>
                      <w:rFonts w:hint="eastAsia"/>
                      <w:szCs w:val="21"/>
                    </w:rPr>
                  </w:pPr>
                  <w:r>
                    <w:rPr>
                      <w:rFonts w:hint="eastAsia"/>
                      <w:szCs w:val="21"/>
                    </w:rPr>
                    <w:t>水、电供应</w:t>
                  </w:r>
                </w:p>
              </w:tc>
              <w:tc>
                <w:tcPr>
                  <w:tcW w:w="2882" w:type="pct"/>
                  <w:noWrap w:val="0"/>
                  <w:vAlign w:val="center"/>
                </w:tcPr>
                <w:p>
                  <w:pPr>
                    <w:widowControl/>
                    <w:jc w:val="left"/>
                    <w:rPr>
                      <w:rFonts w:hint="eastAsia"/>
                    </w:rPr>
                  </w:pPr>
                  <w:r>
                    <w:rPr>
                      <w:rFonts w:hint="eastAsia"/>
                    </w:rPr>
                    <w:t>生产用水全部取自河道水，生活用水利用附近现有灌区管理站供应；</w:t>
                  </w:r>
                </w:p>
                <w:p>
                  <w:pPr>
                    <w:widowControl/>
                    <w:jc w:val="left"/>
                    <w:rPr>
                      <w:rFonts w:hint="eastAsia"/>
                    </w:rPr>
                  </w:pPr>
                  <w:r>
                    <w:rPr>
                      <w:rFonts w:hint="eastAsia"/>
                    </w:rPr>
                    <w:t>工程使用渠首现有电源，施工用电采用100%网电。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noWrap w:val="0"/>
                  <w:vAlign w:val="center"/>
                </w:tcPr>
                <w:p>
                  <w:pPr>
                    <w:adjustRightInd w:val="0"/>
                    <w:snapToGrid w:val="0"/>
                    <w:jc w:val="center"/>
                    <w:rPr>
                      <w:szCs w:val="21"/>
                    </w:rPr>
                  </w:pPr>
                  <w:r>
                    <w:rPr>
                      <w:szCs w:val="21"/>
                    </w:rPr>
                    <w:t>环保</w:t>
                  </w:r>
                </w:p>
                <w:p>
                  <w:pPr>
                    <w:adjustRightInd w:val="0"/>
                    <w:snapToGrid w:val="0"/>
                    <w:jc w:val="center"/>
                    <w:rPr>
                      <w:szCs w:val="21"/>
                    </w:rPr>
                  </w:pPr>
                  <w:r>
                    <w:rPr>
                      <w:szCs w:val="21"/>
                    </w:rPr>
                    <w:t>工</w:t>
                  </w:r>
                  <w:r>
                    <w:rPr>
                      <w:rFonts w:hint="eastAsia"/>
                      <w:szCs w:val="21"/>
                    </w:rPr>
                    <w:t>程</w:t>
                  </w:r>
                </w:p>
              </w:tc>
              <w:tc>
                <w:tcPr>
                  <w:tcW w:w="1677" w:type="pct"/>
                  <w:gridSpan w:val="2"/>
                  <w:noWrap w:val="0"/>
                  <w:vAlign w:val="center"/>
                </w:tcPr>
                <w:p>
                  <w:pPr>
                    <w:adjustRightInd w:val="0"/>
                    <w:snapToGrid w:val="0"/>
                    <w:jc w:val="center"/>
                    <w:rPr>
                      <w:szCs w:val="21"/>
                    </w:rPr>
                  </w:pPr>
                  <w:r>
                    <w:rPr>
                      <w:szCs w:val="21"/>
                    </w:rPr>
                    <w:t>水处</w:t>
                  </w:r>
                  <w:r>
                    <w:rPr>
                      <w:rFonts w:hint="eastAsia"/>
                      <w:szCs w:val="21"/>
                    </w:rPr>
                    <w:t>理</w:t>
                  </w:r>
                  <w:r>
                    <w:rPr>
                      <w:szCs w:val="21"/>
                    </w:rPr>
                    <w:t>工</w:t>
                  </w:r>
                  <w:r>
                    <w:rPr>
                      <w:rFonts w:hint="eastAsia"/>
                      <w:szCs w:val="21"/>
                    </w:rPr>
                    <w:t>程</w:t>
                  </w:r>
                </w:p>
              </w:tc>
              <w:tc>
                <w:tcPr>
                  <w:tcW w:w="2882" w:type="pct"/>
                  <w:noWrap w:val="0"/>
                  <w:vAlign w:val="center"/>
                </w:tcPr>
                <w:p>
                  <w:pPr>
                    <w:widowControl/>
                    <w:jc w:val="left"/>
                    <w:rPr>
                      <w:rFonts w:hint="eastAsia"/>
                      <w:szCs w:val="21"/>
                    </w:rPr>
                  </w:pPr>
                  <w:r>
                    <w:rPr>
                      <w:rFonts w:hint="eastAsia"/>
                      <w:szCs w:val="21"/>
                    </w:rPr>
                    <w:t>混凝土拌和及养护废水处理采用预沉池、沉淀池和清水池，工艺主要为间歇式自然沉淀和加酸中和，共配置2个预沉池、1个沉淀池、1个清水池、1个清水泵（回用泵）和2个潜污泵。</w:t>
                  </w:r>
                </w:p>
                <w:p>
                  <w:pPr>
                    <w:widowControl/>
                    <w:jc w:val="left"/>
                    <w:rPr>
                      <w:rFonts w:hint="eastAsia"/>
                    </w:rPr>
                  </w:pPr>
                  <w:r>
                    <w:rPr>
                      <w:rFonts w:hint="eastAsia"/>
                    </w:rPr>
                    <w:t>基坑排水处理设施1套，包括</w:t>
                  </w:r>
                  <w:r>
                    <w:rPr>
                      <w:rFonts w:hint="eastAsia"/>
                      <w:szCs w:val="21"/>
                    </w:rPr>
                    <w:t>2个沉淀池、1个反应池、1个清水池、1个清水泵（回用泵）和2个潜污泵。</w:t>
                  </w:r>
                </w:p>
                <w:p>
                  <w:pPr>
                    <w:adjustRightInd w:val="0"/>
                    <w:snapToGrid w:val="0"/>
                    <w:jc w:val="left"/>
                    <w:rPr>
                      <w:szCs w:val="21"/>
                    </w:rPr>
                  </w:pPr>
                  <w:r>
                    <w:rPr>
                      <w:szCs w:val="21"/>
                    </w:rPr>
                    <w:t>生活污水</w:t>
                  </w:r>
                  <w:r>
                    <w:rPr>
                      <w:rFonts w:hint="eastAsia"/>
                      <w:szCs w:val="21"/>
                    </w:rPr>
                    <w:t>采</w:t>
                  </w:r>
                  <w:r>
                    <w:rPr>
                      <w:szCs w:val="21"/>
                    </w:rPr>
                    <w:t>用</w:t>
                  </w:r>
                  <w:r>
                    <w:rPr>
                      <w:rFonts w:hint="eastAsia"/>
                      <w:szCs w:val="21"/>
                    </w:rPr>
                    <w:t>环保型防</w:t>
                  </w:r>
                  <w:r>
                    <w:rPr>
                      <w:szCs w:val="21"/>
                    </w:rPr>
                    <w:t>渗旱厕和化</w:t>
                  </w:r>
                  <w:r>
                    <w:rPr>
                      <w:rFonts w:hint="eastAsia"/>
                      <w:szCs w:val="21"/>
                    </w:rPr>
                    <w:t>粪</w:t>
                  </w:r>
                  <w:r>
                    <w:rPr>
                      <w:szCs w:val="21"/>
                    </w:rPr>
                    <w:t>池处理</w:t>
                  </w:r>
                  <w:r>
                    <w:rPr>
                      <w:rFonts w:hint="eastAsia"/>
                      <w:szCs w:val="21"/>
                    </w:rPr>
                    <w:t>，共计1个环保型防渗旱厕和1个化粪池。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pPr>
                    <w:adjustRightInd w:val="0"/>
                    <w:snapToGrid w:val="0"/>
                    <w:jc w:val="center"/>
                    <w:rPr>
                      <w:szCs w:val="21"/>
                    </w:rPr>
                  </w:pPr>
                </w:p>
              </w:tc>
              <w:tc>
                <w:tcPr>
                  <w:tcW w:w="1677" w:type="pct"/>
                  <w:gridSpan w:val="2"/>
                  <w:noWrap w:val="0"/>
                  <w:vAlign w:val="center"/>
                </w:tcPr>
                <w:p>
                  <w:pPr>
                    <w:adjustRightInd w:val="0"/>
                    <w:snapToGrid w:val="0"/>
                    <w:jc w:val="center"/>
                    <w:rPr>
                      <w:szCs w:val="21"/>
                    </w:rPr>
                  </w:pPr>
                  <w:r>
                    <w:rPr>
                      <w:rFonts w:hint="eastAsia"/>
                      <w:szCs w:val="21"/>
                    </w:rPr>
                    <w:t>生态保护</w:t>
                  </w:r>
                </w:p>
              </w:tc>
              <w:tc>
                <w:tcPr>
                  <w:tcW w:w="2882" w:type="pct"/>
                  <w:noWrap w:val="0"/>
                  <w:vAlign w:val="center"/>
                </w:tcPr>
                <w:p>
                  <w:pPr>
                    <w:adjustRightInd w:val="0"/>
                    <w:snapToGrid w:val="0"/>
                    <w:jc w:val="left"/>
                    <w:rPr>
                      <w:rFonts w:hint="eastAsia"/>
                      <w:szCs w:val="21"/>
                    </w:rPr>
                  </w:pPr>
                  <w:r>
                    <w:rPr>
                      <w:rFonts w:hint="eastAsia"/>
                      <w:szCs w:val="21"/>
                    </w:rPr>
                    <w:t>加强对施工人员的培训和教育，保护动植物资源，减少破坏植被；明确施工占地范围和作业带宽度，禁止对施工占地范围外的环境造成破坏；非施工区严禁烟火；加快施工进程，缩短周期；施工结束后，临时占地应及时进行植被恢复。</w:t>
                  </w:r>
                </w:p>
                <w:p>
                  <w:pPr>
                    <w:adjustRightInd w:val="0"/>
                    <w:snapToGrid w:val="0"/>
                    <w:jc w:val="left"/>
                    <w:rPr>
                      <w:rFonts w:hint="eastAsia"/>
                      <w:szCs w:val="21"/>
                    </w:rPr>
                  </w:pPr>
                  <w:r>
                    <w:rPr>
                      <w:rFonts w:hint="eastAsia"/>
                      <w:szCs w:val="21"/>
                    </w:rPr>
                    <w:t>加强表土保护，土方开挖前先将表层土壤剥离，堆放保存好，并采取拦挡等临时性水土保持措施进行防护，工程结束后表土用于工程占地范围内的地表植被恢复。</w:t>
                  </w:r>
                </w:p>
                <w:p>
                  <w:pPr>
                    <w:adjustRightInd w:val="0"/>
                    <w:snapToGrid w:val="0"/>
                    <w:jc w:val="left"/>
                    <w:rPr>
                      <w:rFonts w:hint="eastAsia"/>
                    </w:rPr>
                  </w:pPr>
                  <w:r>
                    <w:rPr>
                      <w:rFonts w:hint="eastAsia"/>
                      <w:szCs w:val="21"/>
                    </w:rPr>
                    <w:t>临时占地为耕地的将进行复垦，占用为草地的仍恢复为草地。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pPr>
                    <w:adjustRightInd w:val="0"/>
                    <w:snapToGrid w:val="0"/>
                    <w:jc w:val="center"/>
                    <w:rPr>
                      <w:szCs w:val="21"/>
                    </w:rPr>
                  </w:pPr>
                </w:p>
              </w:tc>
              <w:tc>
                <w:tcPr>
                  <w:tcW w:w="1677" w:type="pct"/>
                  <w:gridSpan w:val="2"/>
                  <w:noWrap w:val="0"/>
                  <w:vAlign w:val="center"/>
                </w:tcPr>
                <w:p>
                  <w:pPr>
                    <w:adjustRightInd w:val="0"/>
                    <w:snapToGrid w:val="0"/>
                    <w:jc w:val="center"/>
                    <w:rPr>
                      <w:szCs w:val="21"/>
                    </w:rPr>
                  </w:pPr>
                  <w:r>
                    <w:rPr>
                      <w:rFonts w:hint="eastAsia"/>
                      <w:szCs w:val="21"/>
                    </w:rPr>
                    <w:t>环境空气保护措施</w:t>
                  </w:r>
                </w:p>
              </w:tc>
              <w:tc>
                <w:tcPr>
                  <w:tcW w:w="2882" w:type="pct"/>
                  <w:noWrap w:val="0"/>
                  <w:vAlign w:val="center"/>
                </w:tcPr>
                <w:p>
                  <w:pPr>
                    <w:adjustRightInd w:val="0"/>
                    <w:snapToGrid w:val="0"/>
                    <w:jc w:val="left"/>
                    <w:rPr>
                      <w:szCs w:val="21"/>
                    </w:rPr>
                  </w:pPr>
                  <w:r>
                    <w:rPr>
                      <w:rFonts w:hint="eastAsia"/>
                      <w:szCs w:val="21"/>
                    </w:rPr>
                    <w:t>开挖集中区、施工场区和运输道路，非雨日洒水降尘；</w:t>
                  </w:r>
                  <w:r>
                    <w:rPr>
                      <w:rFonts w:hint="eastAsia" w:hAnsi="宋体"/>
                      <w:szCs w:val="21"/>
                    </w:rPr>
                    <w:t>装载多尘物料时，对物料适当加湿或用篷布遮盖，</w:t>
                  </w:r>
                  <w:r>
                    <w:rPr>
                      <w:rFonts w:hint="eastAsia"/>
                    </w:rPr>
                    <w:t>运送散装水泥车辆的储罐应保持良好的密封状态，运用袋装水泥必须覆盖封闭。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pPr>
                    <w:adjustRightInd w:val="0"/>
                    <w:snapToGrid w:val="0"/>
                    <w:jc w:val="center"/>
                    <w:rPr>
                      <w:szCs w:val="21"/>
                    </w:rPr>
                  </w:pPr>
                </w:p>
              </w:tc>
              <w:tc>
                <w:tcPr>
                  <w:tcW w:w="1677" w:type="pct"/>
                  <w:gridSpan w:val="2"/>
                  <w:noWrap w:val="0"/>
                  <w:vAlign w:val="center"/>
                </w:tcPr>
                <w:p>
                  <w:pPr>
                    <w:adjustRightInd w:val="0"/>
                    <w:snapToGrid w:val="0"/>
                    <w:jc w:val="center"/>
                    <w:rPr>
                      <w:szCs w:val="21"/>
                    </w:rPr>
                  </w:pPr>
                  <w:r>
                    <w:rPr>
                      <w:szCs w:val="21"/>
                    </w:rPr>
                    <w:t>噪</w:t>
                  </w:r>
                  <w:r>
                    <w:rPr>
                      <w:rFonts w:hint="eastAsia"/>
                      <w:szCs w:val="21"/>
                    </w:rPr>
                    <w:t>声</w:t>
                  </w:r>
                  <w:r>
                    <w:rPr>
                      <w:szCs w:val="21"/>
                    </w:rPr>
                    <w:t>防护工程</w:t>
                  </w:r>
                </w:p>
              </w:tc>
              <w:tc>
                <w:tcPr>
                  <w:tcW w:w="2882" w:type="pct"/>
                  <w:noWrap w:val="0"/>
                  <w:vAlign w:val="center"/>
                </w:tcPr>
                <w:p>
                  <w:pPr>
                    <w:adjustRightInd w:val="0"/>
                    <w:snapToGrid w:val="0"/>
                    <w:jc w:val="left"/>
                    <w:rPr>
                      <w:szCs w:val="21"/>
                    </w:rPr>
                  </w:pPr>
                  <w:r>
                    <w:rPr>
                      <w:rFonts w:hint="eastAsia"/>
                      <w:szCs w:val="21"/>
                    </w:rPr>
                    <w:t>选用低噪声的生产机械和设备，</w:t>
                  </w:r>
                  <w:r>
                    <w:rPr>
                      <w:rFonts w:hint="eastAsia"/>
                    </w:rPr>
                    <w:t>加强设备的维护和保养</w:t>
                  </w:r>
                  <w:r>
                    <w:rPr>
                      <w:szCs w:val="21"/>
                    </w:rPr>
                    <w:t>；</w:t>
                  </w:r>
                  <w:r>
                    <w:rPr>
                      <w:rFonts w:hint="eastAsia"/>
                      <w:szCs w:val="21"/>
                    </w:rPr>
                    <w:t>控制施工作业时间，尽量避免在夜间进行施工运输作业。</w:t>
                  </w:r>
                  <w:r>
                    <w:rPr>
                      <w:rFonts w:hint="eastAsia"/>
                    </w:rPr>
                    <w:t>车辆经过村镇时减速慢行，禁止鸣笛</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pPr>
                    <w:adjustRightInd w:val="0"/>
                    <w:snapToGrid w:val="0"/>
                    <w:jc w:val="center"/>
                    <w:rPr>
                      <w:szCs w:val="21"/>
                    </w:rPr>
                  </w:pPr>
                </w:p>
              </w:tc>
              <w:tc>
                <w:tcPr>
                  <w:tcW w:w="1677" w:type="pct"/>
                  <w:gridSpan w:val="2"/>
                  <w:noWrap w:val="0"/>
                  <w:vAlign w:val="center"/>
                </w:tcPr>
                <w:p>
                  <w:pPr>
                    <w:adjustRightInd w:val="0"/>
                    <w:snapToGrid w:val="0"/>
                    <w:jc w:val="center"/>
                    <w:rPr>
                      <w:szCs w:val="21"/>
                    </w:rPr>
                  </w:pPr>
                  <w:r>
                    <w:rPr>
                      <w:rFonts w:hint="eastAsia"/>
                      <w:szCs w:val="21"/>
                    </w:rPr>
                    <w:t>固体废物处理</w:t>
                  </w:r>
                </w:p>
              </w:tc>
              <w:tc>
                <w:tcPr>
                  <w:tcW w:w="2882" w:type="pct"/>
                  <w:noWrap w:val="0"/>
                  <w:vAlign w:val="center"/>
                </w:tcPr>
                <w:p>
                  <w:pPr>
                    <w:adjustRightInd w:val="0"/>
                    <w:snapToGrid w:val="0"/>
                    <w:jc w:val="left"/>
                    <w:rPr>
                      <w:rFonts w:hint="eastAsia"/>
                      <w:szCs w:val="21"/>
                    </w:rPr>
                  </w:pPr>
                  <w:r>
                    <w:rPr>
                      <w:rFonts w:hint="eastAsia"/>
                      <w:szCs w:val="21"/>
                    </w:rPr>
                    <w:t>本项目不产生工程永久弃渣，建筑拆除砼及砌石，施工围堰拆除量等全部回填冲坑中。</w:t>
                  </w:r>
                </w:p>
                <w:p>
                  <w:pPr>
                    <w:adjustRightInd w:val="0"/>
                    <w:snapToGrid w:val="0"/>
                    <w:jc w:val="left"/>
                    <w:rPr>
                      <w:szCs w:val="21"/>
                    </w:rPr>
                  </w:pPr>
                  <w:r>
                    <w:rPr>
                      <w:szCs w:val="21"/>
                    </w:rPr>
                    <w:t>在</w:t>
                  </w:r>
                  <w:r>
                    <w:rPr>
                      <w:rFonts w:hint="eastAsia"/>
                      <w:szCs w:val="21"/>
                    </w:rPr>
                    <w:t>临时生活区内共配置2个垃圾箱，定期消毒、清运。</w:t>
                  </w:r>
                </w:p>
              </w:tc>
            </w:tr>
          </w:tbl>
          <w:p>
            <w:pPr>
              <w:pStyle w:val="39"/>
              <w:spacing w:line="360" w:lineRule="auto"/>
              <w:ind w:firstLine="480"/>
              <w:jc w:val="both"/>
              <w:rPr>
                <w:bCs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10" w:type="dxa"/>
            <w:noWrap w:val="0"/>
            <w:vAlign w:val="center"/>
          </w:tcPr>
          <w:p>
            <w:pPr>
              <w:adjustRightInd w:val="0"/>
              <w:snapToGrid w:val="0"/>
              <w:jc w:val="center"/>
              <w:rPr>
                <w:rFonts w:ascii="宋体" w:hAnsi="宋体" w:cs="宋体"/>
                <w:kern w:val="0"/>
                <w:sz w:val="24"/>
              </w:rPr>
            </w:pPr>
            <w:r>
              <w:rPr>
                <w:rFonts w:hint="eastAsia" w:ascii="宋体" w:hAnsi="宋体" w:cs="宋体"/>
                <w:kern w:val="0"/>
                <w:sz w:val="24"/>
              </w:rPr>
              <w:t>总平面及现场布置</w:t>
            </w:r>
          </w:p>
        </w:tc>
        <w:tc>
          <w:tcPr>
            <w:tcW w:w="8380" w:type="dxa"/>
            <w:noWrap w:val="0"/>
            <w:vAlign w:val="center"/>
          </w:tcPr>
          <w:p>
            <w:pPr>
              <w:widowControl/>
              <w:spacing w:line="360" w:lineRule="auto"/>
              <w:jc w:val="left"/>
              <w:rPr>
                <w:b/>
                <w:sz w:val="24"/>
              </w:rPr>
            </w:pPr>
            <w:r>
              <w:rPr>
                <w:rFonts w:hint="eastAsia"/>
                <w:b/>
                <w:sz w:val="24"/>
              </w:rPr>
              <w:t>1、工程总体布局</w:t>
            </w:r>
          </w:p>
          <w:p>
            <w:pPr>
              <w:pStyle w:val="40"/>
              <w:ind w:firstLine="480"/>
              <w:rPr>
                <w:rFonts w:hint="eastAsia" w:ascii="Times New Roman" w:hAnsi="Times New Roman"/>
                <w:szCs w:val="24"/>
              </w:rPr>
            </w:pPr>
            <w:r>
              <w:rPr>
                <w:rFonts w:hint="eastAsia" w:ascii="Times New Roman" w:hAnsi="Times New Roman"/>
                <w:szCs w:val="24"/>
              </w:rPr>
              <w:t>本工程为已建工程，工程总体布局不变。</w:t>
            </w:r>
          </w:p>
          <w:p>
            <w:pPr>
              <w:pStyle w:val="40"/>
              <w:ind w:firstLine="480"/>
              <w:rPr>
                <w:rFonts w:hint="eastAsia" w:ascii="Times New Roman" w:hAnsi="Times New Roman"/>
                <w:szCs w:val="24"/>
              </w:rPr>
            </w:pPr>
            <w:r>
              <w:rPr>
                <w:rFonts w:hint="eastAsia" w:ascii="Times New Roman" w:hAnsi="Times New Roman"/>
                <w:szCs w:val="24"/>
              </w:rPr>
              <w:t>绥化市永安灌区渠首枢纽为溢流坝、泄洪闸组成，泄洪闸为枢纽渠首的主要组成部分。永安灌区渠首枢纽泄洪闸由进口段、闸室段、消力池段和海漫段组成。闸室段闸室净宽42m，分三孔，每孔宽14m，中墩宽2.5m，边墩宽2m，总长51m。中墩分缝，构成三个独立的U形闸室，闸室长10m。</w:t>
            </w:r>
          </w:p>
          <w:p>
            <w:pPr>
              <w:pStyle w:val="40"/>
              <w:ind w:firstLine="480"/>
              <w:rPr>
                <w:rFonts w:hint="eastAsia" w:ascii="Times New Roman" w:hAnsi="Times New Roman"/>
                <w:szCs w:val="24"/>
              </w:rPr>
            </w:pPr>
            <w:r>
              <w:rPr>
                <w:rFonts w:hint="eastAsia" w:ascii="Times New Roman" w:hAnsi="Times New Roman"/>
                <w:szCs w:val="24"/>
              </w:rPr>
              <w:t>本次工程仅针对泄洪闸进行除险加固。</w:t>
            </w:r>
          </w:p>
          <w:p>
            <w:pPr>
              <w:widowControl/>
              <w:spacing w:line="360" w:lineRule="auto"/>
              <w:jc w:val="left"/>
              <w:rPr>
                <w:b/>
                <w:sz w:val="24"/>
              </w:rPr>
            </w:pPr>
            <w:r>
              <w:rPr>
                <w:rFonts w:hint="eastAsia"/>
                <w:b/>
                <w:sz w:val="24"/>
              </w:rPr>
              <w:t>2、施工总体布置</w:t>
            </w:r>
          </w:p>
          <w:p>
            <w:pPr>
              <w:spacing w:line="360" w:lineRule="auto"/>
              <w:ind w:firstLine="480" w:firstLineChars="200"/>
              <w:rPr>
                <w:rFonts w:hint="eastAsia"/>
                <w:sz w:val="24"/>
              </w:rPr>
            </w:pPr>
            <w:r>
              <w:rPr>
                <w:rFonts w:hint="eastAsia"/>
                <w:sz w:val="24"/>
              </w:rPr>
              <w:t>（1）施工生产生活区布置</w:t>
            </w:r>
          </w:p>
          <w:p>
            <w:pPr>
              <w:spacing w:line="360" w:lineRule="auto"/>
              <w:ind w:firstLine="480" w:firstLineChars="200"/>
              <w:rPr>
                <w:rFonts w:hint="eastAsia"/>
                <w:sz w:val="24"/>
              </w:rPr>
            </w:pPr>
            <w:r>
              <w:rPr>
                <w:rFonts w:hint="eastAsia"/>
                <w:sz w:val="24"/>
              </w:rPr>
              <w:t>根据施工总布置原则，共设置1处生产区，承担各灌区的生产建设需要。生产区内设置混凝土生产系统、仓库、风水电及通信等。</w:t>
            </w:r>
          </w:p>
          <w:p>
            <w:pPr>
              <w:spacing w:line="360" w:lineRule="auto"/>
              <w:ind w:firstLine="480" w:firstLineChars="200"/>
              <w:rPr>
                <w:rFonts w:hint="eastAsia"/>
                <w:sz w:val="24"/>
              </w:rPr>
            </w:pPr>
            <w:r>
              <w:rPr>
                <w:rFonts w:hint="eastAsia"/>
                <w:sz w:val="24"/>
              </w:rPr>
              <w:t>工程生活区与生产区统筹布置，共布置1处生活区。生活区包括职工宿舍、办公文化福利等设施。施工高峰期人数为36人。</w:t>
            </w:r>
          </w:p>
          <w:p>
            <w:pPr>
              <w:spacing w:line="360" w:lineRule="auto"/>
              <w:ind w:firstLine="480" w:firstLineChars="200"/>
              <w:rPr>
                <w:rFonts w:hint="eastAsia"/>
                <w:sz w:val="24"/>
              </w:rPr>
            </w:pPr>
            <w:r>
              <w:rPr>
                <w:rFonts w:hint="eastAsia"/>
                <w:sz w:val="24"/>
              </w:rPr>
              <w:t>（2）料场及弃渣场布置</w:t>
            </w:r>
          </w:p>
          <w:p>
            <w:pPr>
              <w:spacing w:line="360" w:lineRule="auto"/>
              <w:ind w:firstLine="480" w:firstLineChars="200"/>
              <w:rPr>
                <w:rFonts w:hint="eastAsia"/>
                <w:sz w:val="24"/>
              </w:rPr>
            </w:pPr>
            <w:r>
              <w:rPr>
                <w:rFonts w:hint="eastAsia"/>
                <w:sz w:val="24"/>
              </w:rPr>
              <w:t>根据施工组织设计，本项目不设料场。</w:t>
            </w:r>
          </w:p>
          <w:p>
            <w:pPr>
              <w:spacing w:line="360" w:lineRule="auto"/>
              <w:ind w:firstLine="480" w:firstLineChars="200"/>
              <w:rPr>
                <w:rFonts w:hint="eastAsia"/>
                <w:sz w:val="24"/>
              </w:rPr>
            </w:pPr>
            <w:r>
              <w:rPr>
                <w:rFonts w:hint="eastAsia"/>
                <w:sz w:val="24"/>
              </w:rPr>
              <w:t>围堰拆除、建筑拆除砼及砌石等待施工结束后，全部回填永久占地范围内冲坑中，不产生永久弃渣，本项目不设弃渣场。</w:t>
            </w:r>
          </w:p>
          <w:p>
            <w:pPr>
              <w:spacing w:line="360" w:lineRule="auto"/>
              <w:ind w:firstLine="480" w:firstLineChars="200"/>
              <w:rPr>
                <w:rFonts w:hint="eastAsia"/>
                <w:sz w:val="24"/>
              </w:rPr>
            </w:pPr>
            <w:r>
              <w:rPr>
                <w:rFonts w:hint="eastAsia"/>
                <w:sz w:val="24"/>
              </w:rPr>
              <w:t>（4）施工交通条件</w:t>
            </w:r>
          </w:p>
          <w:p>
            <w:pPr>
              <w:spacing w:line="360" w:lineRule="auto"/>
              <w:ind w:firstLine="480" w:firstLineChars="200"/>
              <w:rPr>
                <w:rFonts w:hint="eastAsia"/>
                <w:sz w:val="24"/>
              </w:rPr>
            </w:pPr>
            <w:r>
              <w:rPr>
                <w:rFonts w:hint="eastAsia"/>
                <w:sz w:val="24"/>
              </w:rPr>
              <w:t>1）对外交通</w:t>
            </w:r>
          </w:p>
          <w:p>
            <w:pPr>
              <w:spacing w:line="360" w:lineRule="auto"/>
              <w:ind w:firstLine="480" w:firstLineChars="200"/>
              <w:rPr>
                <w:rFonts w:hint="eastAsia"/>
                <w:sz w:val="24"/>
              </w:rPr>
            </w:pPr>
            <w:r>
              <w:rPr>
                <w:rFonts w:hint="eastAsia"/>
                <w:sz w:val="24"/>
              </w:rPr>
              <w:t>本工程公路交通较为便利，施工场地靠近绥化市新华乡红星村，场外交通选择省道S18公路作为材料运输的主要途径，公路标准完全可以满足外进材料的需要。配合已有的村镇道路，将材料运输至施工场地。</w:t>
            </w:r>
          </w:p>
          <w:p>
            <w:pPr>
              <w:spacing w:line="360" w:lineRule="auto"/>
              <w:ind w:firstLine="480" w:firstLineChars="200"/>
              <w:rPr>
                <w:rFonts w:hint="eastAsia"/>
                <w:sz w:val="24"/>
              </w:rPr>
            </w:pPr>
            <w:r>
              <w:rPr>
                <w:rFonts w:hint="eastAsia"/>
                <w:sz w:val="24"/>
              </w:rPr>
              <w:t>2）场内交通</w:t>
            </w:r>
          </w:p>
          <w:p>
            <w:pPr>
              <w:pStyle w:val="4"/>
              <w:spacing w:line="360" w:lineRule="auto"/>
              <w:ind w:firstLine="480"/>
              <w:rPr>
                <w:rFonts w:hint="eastAsia"/>
                <w:sz w:val="24"/>
              </w:rPr>
            </w:pPr>
            <w:r>
              <w:rPr>
                <w:rFonts w:hint="eastAsia"/>
                <w:sz w:val="24"/>
              </w:rPr>
              <w:t>场内交通部分，现状道路基本满足施工要求，场地内部需要修建部分临时道路作为场地交通道路，本工程维修道路6km。</w:t>
            </w:r>
          </w:p>
          <w:p>
            <w:pPr>
              <w:pStyle w:val="4"/>
              <w:spacing w:line="360" w:lineRule="auto"/>
              <w:ind w:firstLine="480"/>
              <w:rPr>
                <w:rFonts w:hint="eastAsia"/>
                <w:sz w:val="24"/>
              </w:rPr>
            </w:pPr>
            <w:r>
              <w:rPr>
                <w:rFonts w:hint="eastAsia"/>
                <w:sz w:val="24"/>
              </w:rPr>
              <w:t>（5）建筑材料、水电等供应</w:t>
            </w:r>
          </w:p>
          <w:p>
            <w:pPr>
              <w:spacing w:line="360" w:lineRule="auto"/>
              <w:ind w:firstLine="480" w:firstLineChars="200"/>
              <w:rPr>
                <w:rFonts w:hint="eastAsia"/>
                <w:sz w:val="24"/>
              </w:rPr>
            </w:pPr>
            <w:r>
              <w:rPr>
                <w:rFonts w:hint="eastAsia"/>
                <w:sz w:val="24"/>
              </w:rPr>
              <w:t>1）建筑材料</w:t>
            </w:r>
          </w:p>
          <w:p>
            <w:pPr>
              <w:spacing w:line="360" w:lineRule="auto"/>
              <w:ind w:firstLine="480" w:firstLineChars="200"/>
              <w:rPr>
                <w:rFonts w:hint="eastAsia"/>
                <w:sz w:val="24"/>
              </w:rPr>
            </w:pPr>
            <w:r>
              <w:rPr>
                <w:rFonts w:hint="eastAsia"/>
                <w:sz w:val="24"/>
              </w:rPr>
              <w:t>本工程所需要的水泥、钢材、木材由北林区采购，通过公路运输至施工场地，距离25km；汽柴油由附近加油站购买，距离25km；砂子由北林区众源公司砂场采购，公路运输至工地20km；碎石、块石庆安县平安镇购置，通过公路运输，距离90km，经调查，各供货点料源充足、质量满足技术要求。</w:t>
            </w:r>
          </w:p>
          <w:p>
            <w:pPr>
              <w:spacing w:line="360" w:lineRule="auto"/>
              <w:ind w:firstLine="480" w:firstLineChars="200"/>
              <w:rPr>
                <w:rFonts w:hint="eastAsia"/>
                <w:sz w:val="24"/>
              </w:rPr>
            </w:pPr>
            <w:r>
              <w:rPr>
                <w:rFonts w:hint="eastAsia"/>
                <w:sz w:val="24"/>
              </w:rPr>
              <w:t>2）施工和生活供水</w:t>
            </w:r>
          </w:p>
          <w:p>
            <w:pPr>
              <w:spacing w:line="360" w:lineRule="auto"/>
              <w:ind w:firstLine="480" w:firstLineChars="200"/>
              <w:rPr>
                <w:rFonts w:hint="eastAsia"/>
                <w:sz w:val="24"/>
              </w:rPr>
            </w:pPr>
            <w:r>
              <w:rPr>
                <w:rFonts w:hint="eastAsia"/>
                <w:sz w:val="24"/>
              </w:rPr>
              <w:t>生产用水全部取自河道水，生活用水利用附近现有灌区管理站供应；</w:t>
            </w:r>
          </w:p>
          <w:p>
            <w:pPr>
              <w:spacing w:line="360" w:lineRule="auto"/>
              <w:ind w:firstLine="480" w:firstLineChars="200"/>
              <w:rPr>
                <w:rFonts w:hint="eastAsia"/>
                <w:sz w:val="24"/>
              </w:rPr>
            </w:pPr>
            <w:r>
              <w:rPr>
                <w:rFonts w:hint="eastAsia"/>
                <w:sz w:val="24"/>
              </w:rPr>
              <w:t>3）施工供电</w:t>
            </w:r>
          </w:p>
          <w:p>
            <w:pPr>
              <w:spacing w:line="360" w:lineRule="auto"/>
              <w:ind w:firstLine="480" w:firstLineChars="200"/>
              <w:rPr>
                <w:rFonts w:hint="eastAsia"/>
                <w:sz w:val="24"/>
              </w:rPr>
            </w:pPr>
            <w:r>
              <w:rPr>
                <w:rFonts w:hint="eastAsia"/>
                <w:sz w:val="24"/>
              </w:rPr>
              <w:t>工程使用渠首现有电源，施工用电采用100%网电。</w:t>
            </w:r>
          </w:p>
          <w:p>
            <w:pPr>
              <w:spacing w:line="360" w:lineRule="auto"/>
              <w:ind w:firstLine="480" w:firstLineChars="200"/>
              <w:rPr>
                <w:rFonts w:hint="eastAsia"/>
                <w:sz w:val="24"/>
              </w:rPr>
            </w:pPr>
            <w:r>
              <w:rPr>
                <w:rFonts w:hint="eastAsia"/>
                <w:sz w:val="24"/>
              </w:rPr>
              <w:t>（6）施工导流</w:t>
            </w:r>
          </w:p>
          <w:p>
            <w:pPr>
              <w:spacing w:line="360" w:lineRule="auto"/>
              <w:ind w:firstLine="480" w:firstLineChars="200"/>
              <w:rPr>
                <w:rFonts w:hint="eastAsia"/>
                <w:sz w:val="24"/>
              </w:rPr>
            </w:pPr>
            <w:r>
              <w:rPr>
                <w:rFonts w:hint="eastAsia"/>
                <w:sz w:val="24"/>
              </w:rPr>
              <w:t>本工程采用土石围堰导流方式，利用溢流坝与进口段右侧原河道进行施工期导流，保证下游灌溉能力。</w:t>
            </w:r>
          </w:p>
          <w:p>
            <w:pPr>
              <w:widowControl/>
              <w:spacing w:line="360" w:lineRule="auto"/>
              <w:jc w:val="left"/>
              <w:rPr>
                <w:b/>
                <w:sz w:val="24"/>
              </w:rPr>
            </w:pPr>
            <w:r>
              <w:rPr>
                <w:rFonts w:hint="eastAsia"/>
                <w:b/>
                <w:sz w:val="24"/>
              </w:rPr>
              <w:t>3、其它</w:t>
            </w:r>
          </w:p>
          <w:p>
            <w:pPr>
              <w:spacing w:line="360" w:lineRule="auto"/>
              <w:ind w:firstLine="480" w:firstLineChars="200"/>
              <w:rPr>
                <w:rFonts w:hint="eastAsia"/>
                <w:sz w:val="24"/>
              </w:rPr>
            </w:pPr>
            <w:r>
              <w:rPr>
                <w:rFonts w:hint="eastAsia"/>
                <w:sz w:val="24"/>
              </w:rPr>
              <w:t>（1）工程占地</w:t>
            </w:r>
          </w:p>
          <w:p>
            <w:pPr>
              <w:spacing w:line="360" w:lineRule="auto"/>
              <w:ind w:firstLine="480" w:firstLineChars="200"/>
              <w:rPr>
                <w:rFonts w:hint="eastAsia"/>
                <w:kern w:val="0"/>
                <w:sz w:val="24"/>
              </w:rPr>
            </w:pPr>
            <w:r>
              <w:rPr>
                <w:rFonts w:hint="eastAsia"/>
                <w:kern w:val="0"/>
                <w:sz w:val="24"/>
              </w:rPr>
              <w:t>工程永久占地为工程轮廓线范围之内的土地。临时用地包括生产生活区占地。</w:t>
            </w:r>
          </w:p>
          <w:p>
            <w:pPr>
              <w:spacing w:line="360" w:lineRule="auto"/>
              <w:ind w:firstLine="480" w:firstLineChars="200"/>
              <w:rPr>
                <w:kern w:val="0"/>
                <w:sz w:val="24"/>
              </w:rPr>
            </w:pPr>
            <w:r>
              <w:rPr>
                <w:rFonts w:hint="eastAsia"/>
                <w:kern w:val="0"/>
                <w:sz w:val="24"/>
              </w:rPr>
              <w:t>永久占地总面积合计1.56hm</w:t>
            </w:r>
            <w:r>
              <w:rPr>
                <w:rFonts w:hint="eastAsia"/>
                <w:kern w:val="0"/>
                <w:sz w:val="24"/>
                <w:vertAlign w:val="superscript"/>
              </w:rPr>
              <w:t>2</w:t>
            </w:r>
            <w:r>
              <w:rPr>
                <w:rFonts w:hint="eastAsia"/>
                <w:kern w:val="0"/>
                <w:sz w:val="24"/>
              </w:rPr>
              <w:t>，</w:t>
            </w:r>
            <w:r>
              <w:rPr>
                <w:kern w:val="0"/>
                <w:sz w:val="24"/>
              </w:rPr>
              <w:t>其中</w:t>
            </w:r>
            <w:r>
              <w:rPr>
                <w:rFonts w:hint="eastAsia"/>
                <w:kern w:val="0"/>
                <w:sz w:val="24"/>
              </w:rPr>
              <w:t>其他草地0.06</w:t>
            </w:r>
            <w:r>
              <w:rPr>
                <w:kern w:val="0"/>
                <w:sz w:val="24"/>
              </w:rPr>
              <w:t>hm</w:t>
            </w:r>
            <w:r>
              <w:rPr>
                <w:kern w:val="0"/>
                <w:sz w:val="24"/>
                <w:vertAlign w:val="superscript"/>
              </w:rPr>
              <w:t>2</w:t>
            </w:r>
            <w:r>
              <w:rPr>
                <w:kern w:val="0"/>
                <w:sz w:val="24"/>
              </w:rPr>
              <w:t>，</w:t>
            </w:r>
            <w:r>
              <w:rPr>
                <w:rFonts w:hint="eastAsia"/>
                <w:kern w:val="0"/>
                <w:sz w:val="24"/>
              </w:rPr>
              <w:t>水工建筑用地0.08</w:t>
            </w:r>
            <w:r>
              <w:rPr>
                <w:kern w:val="0"/>
                <w:sz w:val="24"/>
              </w:rPr>
              <w:t>hm</w:t>
            </w:r>
            <w:r>
              <w:rPr>
                <w:kern w:val="0"/>
                <w:sz w:val="24"/>
                <w:vertAlign w:val="superscript"/>
              </w:rPr>
              <w:t>2</w:t>
            </w:r>
            <w:r>
              <w:rPr>
                <w:rFonts w:hint="eastAsia"/>
                <w:kern w:val="0"/>
                <w:sz w:val="24"/>
              </w:rPr>
              <w:t>，河流水面1.42</w:t>
            </w:r>
            <w:r>
              <w:rPr>
                <w:kern w:val="0"/>
                <w:sz w:val="24"/>
              </w:rPr>
              <w:t>hm</w:t>
            </w:r>
            <w:r>
              <w:rPr>
                <w:kern w:val="0"/>
                <w:sz w:val="24"/>
                <w:vertAlign w:val="superscript"/>
              </w:rPr>
              <w:t>2</w:t>
            </w:r>
            <w:r>
              <w:rPr>
                <w:rFonts w:hint="eastAsia"/>
                <w:kern w:val="0"/>
                <w:sz w:val="24"/>
              </w:rPr>
              <w:t>（水工建筑用地、河流水面均属于水域及水利设施用地，小计为1.50</w:t>
            </w:r>
            <w:r>
              <w:rPr>
                <w:kern w:val="0"/>
                <w:sz w:val="24"/>
              </w:rPr>
              <w:t>hm</w:t>
            </w:r>
            <w:r>
              <w:rPr>
                <w:kern w:val="0"/>
                <w:sz w:val="24"/>
                <w:vertAlign w:val="superscript"/>
              </w:rPr>
              <w:t>2</w:t>
            </w:r>
            <w:r>
              <w:rPr>
                <w:rFonts w:hint="eastAsia"/>
                <w:kern w:val="0"/>
                <w:sz w:val="24"/>
              </w:rPr>
              <w:t>）。</w:t>
            </w:r>
          </w:p>
          <w:p>
            <w:pPr>
              <w:spacing w:line="360" w:lineRule="auto"/>
              <w:ind w:firstLine="480" w:firstLineChars="200"/>
              <w:rPr>
                <w:rFonts w:hint="eastAsia"/>
                <w:kern w:val="0"/>
                <w:sz w:val="24"/>
              </w:rPr>
            </w:pPr>
            <w:r>
              <w:rPr>
                <w:rFonts w:hint="eastAsia"/>
                <w:kern w:val="0"/>
                <w:sz w:val="24"/>
              </w:rPr>
              <w:t>临时占地总面积合计0.38hm</w:t>
            </w:r>
            <w:r>
              <w:rPr>
                <w:rFonts w:hint="eastAsia"/>
                <w:kern w:val="0"/>
                <w:sz w:val="24"/>
                <w:vertAlign w:val="superscript"/>
              </w:rPr>
              <w:t>2</w:t>
            </w:r>
            <w:r>
              <w:rPr>
                <w:rFonts w:hint="eastAsia"/>
                <w:kern w:val="0"/>
                <w:sz w:val="24"/>
              </w:rPr>
              <w:t>，其中旱田0.11hm</w:t>
            </w:r>
            <w:r>
              <w:rPr>
                <w:rFonts w:hint="eastAsia"/>
                <w:kern w:val="0"/>
                <w:sz w:val="24"/>
                <w:vertAlign w:val="superscript"/>
              </w:rPr>
              <w:t>2</w:t>
            </w:r>
            <w:r>
              <w:rPr>
                <w:rFonts w:hint="eastAsia"/>
                <w:kern w:val="0"/>
                <w:sz w:val="24"/>
              </w:rPr>
              <w:t>，其他草地00.27hm</w:t>
            </w:r>
            <w:r>
              <w:rPr>
                <w:rFonts w:hint="eastAsia"/>
                <w:kern w:val="0"/>
                <w:sz w:val="24"/>
                <w:vertAlign w:val="superscript"/>
              </w:rPr>
              <w:t>2</w:t>
            </w:r>
            <w:r>
              <w:rPr>
                <w:rFonts w:hint="eastAsia"/>
                <w:kern w:val="0"/>
                <w:sz w:val="24"/>
              </w:rPr>
              <w:t>。</w:t>
            </w:r>
          </w:p>
          <w:p>
            <w:pPr>
              <w:spacing w:line="360" w:lineRule="auto"/>
              <w:ind w:firstLine="480" w:firstLineChars="200"/>
              <w:rPr>
                <w:rFonts w:hint="eastAsia"/>
                <w:kern w:val="0"/>
                <w:sz w:val="24"/>
              </w:rPr>
            </w:pPr>
            <w:r>
              <w:rPr>
                <w:rFonts w:hint="eastAsia"/>
                <w:kern w:val="0"/>
                <w:sz w:val="24"/>
              </w:rPr>
              <w:t>项目占地不涉及基本农田和公益林。</w:t>
            </w:r>
          </w:p>
          <w:p>
            <w:pPr>
              <w:pStyle w:val="4"/>
              <w:spacing w:line="360" w:lineRule="auto"/>
              <w:ind w:firstLine="480"/>
              <w:rPr>
                <w:rFonts w:hint="eastAsia"/>
                <w:sz w:val="24"/>
              </w:rPr>
            </w:pPr>
            <w:r>
              <w:rPr>
                <w:rFonts w:hint="eastAsia"/>
                <w:sz w:val="24"/>
              </w:rPr>
              <w:t>（2）土石方平衡</w:t>
            </w:r>
          </w:p>
          <w:p>
            <w:pPr>
              <w:spacing w:line="360" w:lineRule="auto"/>
              <w:ind w:firstLine="480" w:firstLineChars="200"/>
              <w:rPr>
                <w:rFonts w:hint="eastAsia"/>
                <w:sz w:val="24"/>
              </w:rPr>
            </w:pPr>
            <w:r>
              <w:rPr>
                <w:sz w:val="24"/>
              </w:rPr>
              <w:t>工程动用土石方总量为</w:t>
            </w:r>
            <w:r>
              <w:rPr>
                <w:rFonts w:hint="eastAsia"/>
                <w:sz w:val="24"/>
              </w:rPr>
              <w:t>2.31万</w:t>
            </w:r>
            <w:r>
              <w:rPr>
                <w:sz w:val="24"/>
              </w:rPr>
              <w:t>m</w:t>
            </w:r>
            <w:r>
              <w:rPr>
                <w:sz w:val="24"/>
                <w:vertAlign w:val="superscript"/>
              </w:rPr>
              <w:t>3</w:t>
            </w:r>
            <w:r>
              <w:rPr>
                <w:sz w:val="24"/>
              </w:rPr>
              <w:t>，其中开挖方</w:t>
            </w:r>
            <w:r>
              <w:rPr>
                <w:rFonts w:hint="eastAsia"/>
                <w:sz w:val="24"/>
              </w:rPr>
              <w:t>0.45万</w:t>
            </w:r>
            <w:r>
              <w:rPr>
                <w:sz w:val="24"/>
              </w:rPr>
              <w:t>m</w:t>
            </w:r>
            <w:r>
              <w:rPr>
                <w:sz w:val="24"/>
                <w:vertAlign w:val="superscript"/>
              </w:rPr>
              <w:t>3</w:t>
            </w:r>
            <w:r>
              <w:rPr>
                <w:rFonts w:hint="eastAsia"/>
                <w:sz w:val="24"/>
              </w:rPr>
              <w:t>，</w:t>
            </w:r>
            <w:r>
              <w:rPr>
                <w:sz w:val="24"/>
              </w:rPr>
              <w:t>回填方</w:t>
            </w:r>
            <w:r>
              <w:rPr>
                <w:rFonts w:hint="eastAsia"/>
                <w:sz w:val="24"/>
              </w:rPr>
              <w:t>1.86万</w:t>
            </w:r>
            <w:r>
              <w:rPr>
                <w:sz w:val="24"/>
              </w:rPr>
              <w:t>m</w:t>
            </w:r>
            <w:r>
              <w:rPr>
                <w:sz w:val="24"/>
                <w:vertAlign w:val="superscript"/>
              </w:rPr>
              <w:t>3</w:t>
            </w:r>
            <w:r>
              <w:rPr>
                <w:sz w:val="24"/>
              </w:rPr>
              <w:t>，</w:t>
            </w:r>
            <w:r>
              <w:rPr>
                <w:rFonts w:hint="eastAsia"/>
                <w:sz w:val="24"/>
              </w:rPr>
              <w:t>外购土方1.40万m</w:t>
            </w:r>
            <w:r>
              <w:rPr>
                <w:rFonts w:hint="eastAsia"/>
                <w:sz w:val="24"/>
                <w:vertAlign w:val="superscript"/>
              </w:rPr>
              <w:t>3</w:t>
            </w:r>
            <w:r>
              <w:rPr>
                <w:rFonts w:hint="eastAsia"/>
                <w:sz w:val="24"/>
              </w:rPr>
              <w:t>用于围堰填筑，工程施工产生弃土0.02万m</w:t>
            </w:r>
            <w:r>
              <w:rPr>
                <w:rFonts w:hint="eastAsia"/>
                <w:sz w:val="24"/>
                <w:vertAlign w:val="superscript"/>
              </w:rPr>
              <w:t>3</w:t>
            </w:r>
            <w:r>
              <w:rPr>
                <w:rFonts w:hint="eastAsia"/>
                <w:sz w:val="24"/>
              </w:rPr>
              <w:t>，建筑拆除砼及砌石0.03万m</w:t>
            </w:r>
            <w:r>
              <w:rPr>
                <w:rFonts w:hint="eastAsia"/>
                <w:sz w:val="24"/>
                <w:vertAlign w:val="superscript"/>
              </w:rPr>
              <w:t>3</w:t>
            </w:r>
            <w:r>
              <w:rPr>
                <w:rFonts w:hint="eastAsia"/>
                <w:sz w:val="24"/>
              </w:rPr>
              <w:t>，施工结束围堰拆除1.40万m</w:t>
            </w:r>
            <w:r>
              <w:rPr>
                <w:rFonts w:hint="eastAsia"/>
                <w:sz w:val="24"/>
                <w:vertAlign w:val="superscript"/>
              </w:rPr>
              <w:t>3</w:t>
            </w:r>
            <w:r>
              <w:rPr>
                <w:rFonts w:hint="eastAsia"/>
                <w:sz w:val="24"/>
              </w:rPr>
              <w:t>，小计1.45万m</w:t>
            </w:r>
            <w:r>
              <w:rPr>
                <w:rFonts w:hint="eastAsia"/>
                <w:sz w:val="24"/>
                <w:vertAlign w:val="superscript"/>
              </w:rPr>
              <w:t>3</w:t>
            </w:r>
            <w:r>
              <w:rPr>
                <w:rFonts w:hint="eastAsia"/>
                <w:sz w:val="24"/>
              </w:rPr>
              <w:t>，主体工程弃土及拆除砼等全部回填永久征地范围内冲坑中，不产生永久弃渣。</w:t>
            </w:r>
          </w:p>
          <w:p>
            <w:pPr>
              <w:widowControl/>
              <w:jc w:val="center"/>
            </w:pPr>
            <w:r>
              <w:rPr>
                <w:b/>
                <w:bCs/>
                <w:sz w:val="24"/>
              </w:rPr>
              <w:t>表</w:t>
            </w:r>
            <w:r>
              <w:rPr>
                <w:rFonts w:hint="eastAsia"/>
                <w:b/>
                <w:bCs/>
                <w:sz w:val="24"/>
              </w:rPr>
              <w:t xml:space="preserve">2-2  土石方平衡表 </w:t>
            </w:r>
            <w:r>
              <w:rPr>
                <w:rFonts w:hint="eastAsia"/>
                <w:b/>
                <w:sz w:val="24"/>
              </w:rPr>
              <w:t xml:space="preserve">           </w:t>
            </w:r>
            <w:r>
              <w:rPr>
                <w:b/>
                <w:sz w:val="24"/>
                <w:lang w:val="zh-CN"/>
              </w:rPr>
              <w:t>单位：m</w:t>
            </w:r>
            <w:r>
              <w:rPr>
                <w:rFonts w:hint="eastAsia"/>
                <w:b/>
                <w:sz w:val="24"/>
                <w:vertAlign w:val="superscript"/>
                <w:lang w:val="zh-CN"/>
              </w:rPr>
              <w:t>3</w:t>
            </w:r>
          </w:p>
          <w:tbl>
            <w:tblPr>
              <w:tblStyle w:val="14"/>
              <w:tblW w:w="7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1"/>
              <w:gridCol w:w="889"/>
              <w:gridCol w:w="964"/>
              <w:gridCol w:w="964"/>
              <w:gridCol w:w="867"/>
              <w:gridCol w:w="1185"/>
              <w:gridCol w:w="854"/>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51" w:type="dxa"/>
                  <w:vMerge w:val="restart"/>
                  <w:noWrap w:val="0"/>
                  <w:tcMar>
                    <w:top w:w="15" w:type="dxa"/>
                    <w:left w:w="15" w:type="dxa"/>
                    <w:right w:w="15" w:type="dxa"/>
                  </w:tcMar>
                  <w:vAlign w:val="center"/>
                </w:tcPr>
                <w:p>
                  <w:pPr>
                    <w:jc w:val="center"/>
                    <w:textAlignment w:val="center"/>
                    <w:rPr>
                      <w:kern w:val="0"/>
                      <w:szCs w:val="21"/>
                      <w:lang w:bidi="ar"/>
                    </w:rPr>
                  </w:pPr>
                  <w:r>
                    <w:rPr>
                      <w:kern w:val="0"/>
                      <w:szCs w:val="21"/>
                      <w:lang w:bidi="ar"/>
                    </w:rPr>
                    <w:t>工程区</w:t>
                  </w:r>
                </w:p>
              </w:tc>
              <w:tc>
                <w:tcPr>
                  <w:tcW w:w="889" w:type="dxa"/>
                  <w:vMerge w:val="restart"/>
                  <w:noWrap w:val="0"/>
                  <w:tcMar>
                    <w:top w:w="15" w:type="dxa"/>
                    <w:left w:w="15" w:type="dxa"/>
                    <w:right w:w="15" w:type="dxa"/>
                  </w:tcMar>
                  <w:vAlign w:val="center"/>
                </w:tcPr>
                <w:p>
                  <w:pPr>
                    <w:jc w:val="center"/>
                    <w:textAlignment w:val="center"/>
                    <w:rPr>
                      <w:kern w:val="0"/>
                      <w:szCs w:val="21"/>
                      <w:lang w:bidi="ar"/>
                    </w:rPr>
                  </w:pPr>
                  <w:r>
                    <w:rPr>
                      <w:kern w:val="0"/>
                      <w:szCs w:val="21"/>
                      <w:lang w:bidi="ar"/>
                    </w:rPr>
                    <w:t>类型</w:t>
                  </w:r>
                </w:p>
              </w:tc>
              <w:tc>
                <w:tcPr>
                  <w:tcW w:w="964" w:type="dxa"/>
                  <w:vMerge w:val="restart"/>
                  <w:noWrap w:val="0"/>
                  <w:tcMar>
                    <w:top w:w="15" w:type="dxa"/>
                    <w:left w:w="15" w:type="dxa"/>
                    <w:right w:w="15" w:type="dxa"/>
                  </w:tcMar>
                  <w:vAlign w:val="center"/>
                </w:tcPr>
                <w:p>
                  <w:pPr>
                    <w:jc w:val="center"/>
                    <w:textAlignment w:val="center"/>
                    <w:rPr>
                      <w:kern w:val="0"/>
                      <w:szCs w:val="21"/>
                      <w:lang w:bidi="ar"/>
                    </w:rPr>
                  </w:pPr>
                  <w:r>
                    <w:rPr>
                      <w:kern w:val="0"/>
                      <w:szCs w:val="21"/>
                      <w:lang w:bidi="ar"/>
                    </w:rPr>
                    <w:t>挖方</w:t>
                  </w:r>
                </w:p>
              </w:tc>
              <w:tc>
                <w:tcPr>
                  <w:tcW w:w="964" w:type="dxa"/>
                  <w:vMerge w:val="restart"/>
                  <w:noWrap w:val="0"/>
                  <w:tcMar>
                    <w:top w:w="15" w:type="dxa"/>
                    <w:left w:w="15" w:type="dxa"/>
                    <w:right w:w="15" w:type="dxa"/>
                  </w:tcMar>
                  <w:vAlign w:val="center"/>
                </w:tcPr>
                <w:p>
                  <w:pPr>
                    <w:jc w:val="center"/>
                    <w:textAlignment w:val="center"/>
                    <w:rPr>
                      <w:kern w:val="0"/>
                      <w:szCs w:val="21"/>
                      <w:lang w:bidi="ar"/>
                    </w:rPr>
                  </w:pPr>
                  <w:r>
                    <w:rPr>
                      <w:kern w:val="0"/>
                      <w:szCs w:val="21"/>
                      <w:lang w:bidi="ar"/>
                    </w:rPr>
                    <w:t>填方</w:t>
                  </w:r>
                </w:p>
              </w:tc>
              <w:tc>
                <w:tcPr>
                  <w:tcW w:w="2052" w:type="dxa"/>
                  <w:gridSpan w:val="2"/>
                  <w:noWrap w:val="0"/>
                  <w:tcMar>
                    <w:top w:w="15" w:type="dxa"/>
                    <w:left w:w="15" w:type="dxa"/>
                    <w:right w:w="15" w:type="dxa"/>
                  </w:tcMar>
                  <w:vAlign w:val="center"/>
                </w:tcPr>
                <w:p>
                  <w:pPr>
                    <w:jc w:val="center"/>
                    <w:textAlignment w:val="center"/>
                    <w:rPr>
                      <w:kern w:val="0"/>
                      <w:szCs w:val="21"/>
                      <w:lang w:bidi="ar"/>
                    </w:rPr>
                  </w:pPr>
                  <w:r>
                    <w:rPr>
                      <w:kern w:val="0"/>
                      <w:szCs w:val="21"/>
                      <w:lang w:bidi="ar"/>
                    </w:rPr>
                    <w:t>外借</w:t>
                  </w:r>
                </w:p>
              </w:tc>
              <w:tc>
                <w:tcPr>
                  <w:tcW w:w="1765" w:type="dxa"/>
                  <w:gridSpan w:val="2"/>
                  <w:noWrap w:val="0"/>
                  <w:tcMar>
                    <w:top w:w="15" w:type="dxa"/>
                    <w:left w:w="15" w:type="dxa"/>
                    <w:right w:w="15" w:type="dxa"/>
                  </w:tcMar>
                  <w:vAlign w:val="center"/>
                </w:tcPr>
                <w:p>
                  <w:pPr>
                    <w:jc w:val="center"/>
                    <w:textAlignment w:val="center"/>
                    <w:rPr>
                      <w:kern w:val="0"/>
                      <w:szCs w:val="21"/>
                      <w:lang w:bidi="ar"/>
                    </w:rPr>
                  </w:pPr>
                  <w:r>
                    <w:rPr>
                      <w:kern w:val="0"/>
                      <w:szCs w:val="21"/>
                      <w:lang w:bidi="ar"/>
                    </w:rPr>
                    <w:t>废弃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51" w:type="dxa"/>
                  <w:vMerge w:val="continue"/>
                  <w:noWrap w:val="0"/>
                  <w:tcMar>
                    <w:top w:w="15" w:type="dxa"/>
                    <w:left w:w="15" w:type="dxa"/>
                    <w:right w:w="15" w:type="dxa"/>
                  </w:tcMar>
                  <w:vAlign w:val="center"/>
                </w:tcPr>
                <w:p>
                  <w:pPr>
                    <w:jc w:val="center"/>
                    <w:textAlignment w:val="center"/>
                    <w:rPr>
                      <w:kern w:val="0"/>
                      <w:szCs w:val="21"/>
                      <w:lang w:bidi="ar"/>
                    </w:rPr>
                  </w:pPr>
                </w:p>
              </w:tc>
              <w:tc>
                <w:tcPr>
                  <w:tcW w:w="889" w:type="dxa"/>
                  <w:vMerge w:val="continue"/>
                  <w:noWrap w:val="0"/>
                  <w:tcMar>
                    <w:top w:w="15" w:type="dxa"/>
                    <w:left w:w="15" w:type="dxa"/>
                    <w:right w:w="15" w:type="dxa"/>
                  </w:tcMar>
                  <w:vAlign w:val="center"/>
                </w:tcPr>
                <w:p>
                  <w:pPr>
                    <w:jc w:val="center"/>
                    <w:textAlignment w:val="center"/>
                    <w:rPr>
                      <w:kern w:val="0"/>
                      <w:szCs w:val="21"/>
                      <w:lang w:bidi="ar"/>
                    </w:rPr>
                  </w:pPr>
                </w:p>
              </w:tc>
              <w:tc>
                <w:tcPr>
                  <w:tcW w:w="964" w:type="dxa"/>
                  <w:vMerge w:val="continue"/>
                  <w:noWrap w:val="0"/>
                  <w:tcMar>
                    <w:top w:w="15" w:type="dxa"/>
                    <w:left w:w="15" w:type="dxa"/>
                    <w:right w:w="15" w:type="dxa"/>
                  </w:tcMar>
                  <w:vAlign w:val="center"/>
                </w:tcPr>
                <w:p>
                  <w:pPr>
                    <w:jc w:val="center"/>
                    <w:textAlignment w:val="center"/>
                    <w:rPr>
                      <w:kern w:val="0"/>
                      <w:szCs w:val="21"/>
                      <w:lang w:bidi="ar"/>
                    </w:rPr>
                  </w:pPr>
                </w:p>
              </w:tc>
              <w:tc>
                <w:tcPr>
                  <w:tcW w:w="964" w:type="dxa"/>
                  <w:vMerge w:val="continue"/>
                  <w:noWrap w:val="0"/>
                  <w:tcMar>
                    <w:top w:w="15" w:type="dxa"/>
                    <w:left w:w="15" w:type="dxa"/>
                    <w:right w:w="15" w:type="dxa"/>
                  </w:tcMar>
                  <w:vAlign w:val="center"/>
                </w:tcPr>
                <w:p>
                  <w:pPr>
                    <w:jc w:val="center"/>
                    <w:textAlignment w:val="center"/>
                    <w:rPr>
                      <w:kern w:val="0"/>
                      <w:szCs w:val="21"/>
                      <w:lang w:bidi="ar"/>
                    </w:rPr>
                  </w:pPr>
                </w:p>
              </w:tc>
              <w:tc>
                <w:tcPr>
                  <w:tcW w:w="867" w:type="dxa"/>
                  <w:noWrap w:val="0"/>
                  <w:tcMar>
                    <w:top w:w="15" w:type="dxa"/>
                    <w:left w:w="15" w:type="dxa"/>
                    <w:right w:w="15" w:type="dxa"/>
                  </w:tcMar>
                  <w:vAlign w:val="center"/>
                </w:tcPr>
                <w:p>
                  <w:pPr>
                    <w:widowControl/>
                    <w:jc w:val="center"/>
                    <w:textAlignment w:val="center"/>
                    <w:rPr>
                      <w:kern w:val="0"/>
                      <w:szCs w:val="21"/>
                      <w:lang w:bidi="ar"/>
                    </w:rPr>
                  </w:pPr>
                  <w:r>
                    <w:rPr>
                      <w:kern w:val="0"/>
                      <w:szCs w:val="21"/>
                      <w:lang w:bidi="ar"/>
                    </w:rPr>
                    <w:t>数量</w:t>
                  </w:r>
                </w:p>
              </w:tc>
              <w:tc>
                <w:tcPr>
                  <w:tcW w:w="1185" w:type="dxa"/>
                  <w:noWrap w:val="0"/>
                  <w:tcMar>
                    <w:top w:w="15" w:type="dxa"/>
                    <w:left w:w="15" w:type="dxa"/>
                    <w:right w:w="15" w:type="dxa"/>
                  </w:tcMar>
                  <w:vAlign w:val="center"/>
                </w:tcPr>
                <w:p>
                  <w:pPr>
                    <w:widowControl/>
                    <w:jc w:val="center"/>
                    <w:textAlignment w:val="center"/>
                    <w:rPr>
                      <w:kern w:val="0"/>
                      <w:szCs w:val="21"/>
                      <w:lang w:bidi="ar"/>
                    </w:rPr>
                  </w:pPr>
                  <w:r>
                    <w:rPr>
                      <w:kern w:val="0"/>
                      <w:szCs w:val="21"/>
                      <w:lang w:bidi="ar"/>
                    </w:rPr>
                    <w:t>来源</w:t>
                  </w:r>
                </w:p>
              </w:tc>
              <w:tc>
                <w:tcPr>
                  <w:tcW w:w="854" w:type="dxa"/>
                  <w:noWrap w:val="0"/>
                  <w:tcMar>
                    <w:top w:w="15" w:type="dxa"/>
                    <w:left w:w="15" w:type="dxa"/>
                    <w:right w:w="15" w:type="dxa"/>
                  </w:tcMar>
                  <w:vAlign w:val="center"/>
                </w:tcPr>
                <w:p>
                  <w:pPr>
                    <w:widowControl/>
                    <w:jc w:val="center"/>
                    <w:textAlignment w:val="center"/>
                    <w:rPr>
                      <w:kern w:val="0"/>
                      <w:szCs w:val="21"/>
                      <w:lang w:bidi="ar"/>
                    </w:rPr>
                  </w:pPr>
                  <w:r>
                    <w:rPr>
                      <w:kern w:val="0"/>
                      <w:szCs w:val="21"/>
                      <w:lang w:bidi="ar"/>
                    </w:rPr>
                    <w:t>数量</w:t>
                  </w:r>
                </w:p>
              </w:tc>
              <w:tc>
                <w:tcPr>
                  <w:tcW w:w="911" w:type="dxa"/>
                  <w:noWrap w:val="0"/>
                  <w:tcMar>
                    <w:top w:w="15" w:type="dxa"/>
                    <w:left w:w="15" w:type="dxa"/>
                    <w:right w:w="15" w:type="dxa"/>
                  </w:tcMar>
                  <w:vAlign w:val="center"/>
                </w:tcPr>
                <w:p>
                  <w:pPr>
                    <w:widowControl/>
                    <w:jc w:val="center"/>
                    <w:textAlignment w:val="center"/>
                    <w:rPr>
                      <w:kern w:val="0"/>
                      <w:szCs w:val="21"/>
                      <w:lang w:bidi="ar"/>
                    </w:rPr>
                  </w:pPr>
                  <w:r>
                    <w:rPr>
                      <w:kern w:val="0"/>
                      <w:szCs w:val="21"/>
                      <w:lang w:bidi="ar"/>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51" w:type="dxa"/>
                  <w:vMerge w:val="restart"/>
                  <w:noWrap w:val="0"/>
                  <w:tcMar>
                    <w:top w:w="15" w:type="dxa"/>
                    <w:left w:w="15" w:type="dxa"/>
                    <w:right w:w="15" w:type="dxa"/>
                  </w:tcMar>
                  <w:vAlign w:val="center"/>
                </w:tcPr>
                <w:p>
                  <w:pPr>
                    <w:jc w:val="center"/>
                    <w:textAlignment w:val="center"/>
                    <w:rPr>
                      <w:kern w:val="0"/>
                      <w:szCs w:val="21"/>
                      <w:lang w:bidi="ar"/>
                    </w:rPr>
                  </w:pPr>
                  <w:r>
                    <w:rPr>
                      <w:kern w:val="0"/>
                      <w:szCs w:val="21"/>
                      <w:lang w:bidi="ar"/>
                    </w:rPr>
                    <w:t>主体工程区</w:t>
                  </w:r>
                </w:p>
              </w:tc>
              <w:tc>
                <w:tcPr>
                  <w:tcW w:w="889" w:type="dxa"/>
                  <w:noWrap w:val="0"/>
                  <w:tcMar>
                    <w:top w:w="15" w:type="dxa"/>
                    <w:left w:w="15" w:type="dxa"/>
                    <w:right w:w="15" w:type="dxa"/>
                  </w:tcMar>
                  <w:vAlign w:val="center"/>
                </w:tcPr>
                <w:p>
                  <w:pPr>
                    <w:widowControl/>
                    <w:jc w:val="center"/>
                    <w:textAlignment w:val="center"/>
                    <w:rPr>
                      <w:kern w:val="0"/>
                      <w:szCs w:val="21"/>
                      <w:lang w:bidi="ar"/>
                    </w:rPr>
                  </w:pPr>
                  <w:r>
                    <w:rPr>
                      <w:kern w:val="0"/>
                      <w:szCs w:val="21"/>
                      <w:lang w:bidi="ar"/>
                    </w:rPr>
                    <w:t>表土</w:t>
                  </w:r>
                </w:p>
              </w:tc>
              <w:tc>
                <w:tcPr>
                  <w:tcW w:w="964"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120</w:t>
                  </w:r>
                </w:p>
              </w:tc>
              <w:tc>
                <w:tcPr>
                  <w:tcW w:w="964" w:type="dxa"/>
                  <w:noWrap w:val="0"/>
                  <w:tcMar>
                    <w:top w:w="15" w:type="dxa"/>
                    <w:left w:w="15" w:type="dxa"/>
                    <w:right w:w="15" w:type="dxa"/>
                  </w:tcMar>
                  <w:vAlign w:val="center"/>
                </w:tcPr>
                <w:p>
                  <w:pPr>
                    <w:jc w:val="center"/>
                    <w:textAlignment w:val="center"/>
                    <w:rPr>
                      <w:kern w:val="0"/>
                      <w:szCs w:val="21"/>
                      <w:lang w:bidi="ar"/>
                    </w:rPr>
                  </w:pPr>
                </w:p>
              </w:tc>
              <w:tc>
                <w:tcPr>
                  <w:tcW w:w="867" w:type="dxa"/>
                  <w:noWrap w:val="0"/>
                  <w:tcMar>
                    <w:top w:w="15" w:type="dxa"/>
                    <w:left w:w="15" w:type="dxa"/>
                    <w:right w:w="15" w:type="dxa"/>
                  </w:tcMar>
                  <w:vAlign w:val="center"/>
                </w:tcPr>
                <w:p>
                  <w:pPr>
                    <w:jc w:val="center"/>
                    <w:textAlignment w:val="center"/>
                    <w:rPr>
                      <w:kern w:val="0"/>
                      <w:szCs w:val="21"/>
                      <w:lang w:bidi="ar"/>
                    </w:rPr>
                  </w:pPr>
                </w:p>
              </w:tc>
              <w:tc>
                <w:tcPr>
                  <w:tcW w:w="1185" w:type="dxa"/>
                  <w:noWrap w:val="0"/>
                  <w:tcMar>
                    <w:top w:w="15" w:type="dxa"/>
                    <w:left w:w="15" w:type="dxa"/>
                    <w:right w:w="15" w:type="dxa"/>
                  </w:tcMar>
                  <w:vAlign w:val="center"/>
                </w:tcPr>
                <w:p>
                  <w:pPr>
                    <w:jc w:val="center"/>
                    <w:textAlignment w:val="center"/>
                    <w:rPr>
                      <w:kern w:val="0"/>
                      <w:szCs w:val="21"/>
                      <w:lang w:bidi="ar"/>
                    </w:rPr>
                  </w:pPr>
                </w:p>
              </w:tc>
              <w:tc>
                <w:tcPr>
                  <w:tcW w:w="854" w:type="dxa"/>
                  <w:noWrap w:val="0"/>
                  <w:tcMar>
                    <w:top w:w="15" w:type="dxa"/>
                    <w:left w:w="15" w:type="dxa"/>
                    <w:right w:w="15" w:type="dxa"/>
                  </w:tcMar>
                  <w:vAlign w:val="center"/>
                </w:tcPr>
                <w:p>
                  <w:pPr>
                    <w:jc w:val="center"/>
                    <w:textAlignment w:val="center"/>
                    <w:rPr>
                      <w:kern w:val="0"/>
                      <w:szCs w:val="21"/>
                      <w:lang w:bidi="ar"/>
                    </w:rPr>
                  </w:pPr>
                </w:p>
              </w:tc>
              <w:tc>
                <w:tcPr>
                  <w:tcW w:w="911" w:type="dxa"/>
                  <w:noWrap w:val="0"/>
                  <w:tcMar>
                    <w:top w:w="15" w:type="dxa"/>
                    <w:left w:w="15" w:type="dxa"/>
                    <w:right w:w="15" w:type="dxa"/>
                  </w:tcMar>
                  <w:vAlign w:val="center"/>
                </w:tcPr>
                <w:p>
                  <w:pPr>
                    <w:jc w:val="center"/>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51" w:type="dxa"/>
                  <w:vMerge w:val="continue"/>
                  <w:noWrap w:val="0"/>
                  <w:tcMar>
                    <w:top w:w="15" w:type="dxa"/>
                    <w:left w:w="15" w:type="dxa"/>
                    <w:right w:w="15" w:type="dxa"/>
                  </w:tcMar>
                  <w:vAlign w:val="center"/>
                </w:tcPr>
                <w:p>
                  <w:pPr>
                    <w:jc w:val="center"/>
                    <w:textAlignment w:val="center"/>
                    <w:rPr>
                      <w:kern w:val="0"/>
                      <w:szCs w:val="21"/>
                      <w:lang w:bidi="ar"/>
                    </w:rPr>
                  </w:pPr>
                </w:p>
              </w:tc>
              <w:tc>
                <w:tcPr>
                  <w:tcW w:w="889"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进口段及消力池</w:t>
                  </w:r>
                </w:p>
              </w:tc>
              <w:tc>
                <w:tcPr>
                  <w:tcW w:w="964"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3549</w:t>
                  </w:r>
                </w:p>
              </w:tc>
              <w:tc>
                <w:tcPr>
                  <w:tcW w:w="964"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3041</w:t>
                  </w:r>
                </w:p>
              </w:tc>
              <w:tc>
                <w:tcPr>
                  <w:tcW w:w="867" w:type="dxa"/>
                  <w:noWrap w:val="0"/>
                  <w:tcMar>
                    <w:top w:w="15" w:type="dxa"/>
                    <w:left w:w="15" w:type="dxa"/>
                    <w:right w:w="15" w:type="dxa"/>
                  </w:tcMar>
                  <w:vAlign w:val="center"/>
                </w:tcPr>
                <w:p>
                  <w:pPr>
                    <w:jc w:val="center"/>
                    <w:textAlignment w:val="center"/>
                    <w:rPr>
                      <w:kern w:val="0"/>
                      <w:szCs w:val="21"/>
                      <w:lang w:bidi="ar"/>
                    </w:rPr>
                  </w:pPr>
                </w:p>
              </w:tc>
              <w:tc>
                <w:tcPr>
                  <w:tcW w:w="1185" w:type="dxa"/>
                  <w:noWrap w:val="0"/>
                  <w:tcMar>
                    <w:top w:w="15" w:type="dxa"/>
                    <w:left w:w="15" w:type="dxa"/>
                    <w:right w:w="15" w:type="dxa"/>
                  </w:tcMar>
                  <w:vAlign w:val="center"/>
                </w:tcPr>
                <w:p>
                  <w:pPr>
                    <w:ind w:firstLine="420"/>
                    <w:jc w:val="left"/>
                    <w:textAlignment w:val="center"/>
                    <w:rPr>
                      <w:kern w:val="0"/>
                      <w:szCs w:val="21"/>
                      <w:lang w:bidi="ar"/>
                    </w:rPr>
                  </w:pPr>
                </w:p>
              </w:tc>
              <w:tc>
                <w:tcPr>
                  <w:tcW w:w="854" w:type="dxa"/>
                  <w:noWrap w:val="0"/>
                  <w:tcMar>
                    <w:top w:w="15" w:type="dxa"/>
                    <w:left w:w="15" w:type="dxa"/>
                    <w:right w:w="15" w:type="dxa"/>
                  </w:tcMar>
                  <w:vAlign w:val="center"/>
                </w:tcPr>
                <w:p>
                  <w:pPr>
                    <w:jc w:val="center"/>
                    <w:textAlignment w:val="center"/>
                    <w:rPr>
                      <w:kern w:val="0"/>
                      <w:szCs w:val="21"/>
                      <w:lang w:bidi="ar"/>
                    </w:rPr>
                  </w:pPr>
                </w:p>
              </w:tc>
              <w:tc>
                <w:tcPr>
                  <w:tcW w:w="911" w:type="dxa"/>
                  <w:vMerge w:val="restart"/>
                  <w:noWrap w:val="0"/>
                  <w:tcMar>
                    <w:top w:w="15" w:type="dxa"/>
                    <w:left w:w="15" w:type="dxa"/>
                    <w:right w:w="15" w:type="dxa"/>
                  </w:tcMar>
                  <w:vAlign w:val="center"/>
                </w:tcPr>
                <w:p>
                  <w:pPr>
                    <w:jc w:val="center"/>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51" w:type="dxa"/>
                  <w:vMerge w:val="continue"/>
                  <w:noWrap w:val="0"/>
                  <w:tcMar>
                    <w:top w:w="15" w:type="dxa"/>
                    <w:left w:w="15" w:type="dxa"/>
                    <w:right w:w="15" w:type="dxa"/>
                  </w:tcMar>
                  <w:vAlign w:val="center"/>
                </w:tcPr>
                <w:p>
                  <w:pPr>
                    <w:jc w:val="center"/>
                    <w:textAlignment w:val="center"/>
                    <w:rPr>
                      <w:kern w:val="0"/>
                      <w:szCs w:val="21"/>
                      <w:lang w:bidi="ar"/>
                    </w:rPr>
                  </w:pPr>
                </w:p>
              </w:tc>
              <w:tc>
                <w:tcPr>
                  <w:tcW w:w="889"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围堰</w:t>
                  </w:r>
                </w:p>
              </w:tc>
              <w:tc>
                <w:tcPr>
                  <w:tcW w:w="964" w:type="dxa"/>
                  <w:noWrap w:val="0"/>
                  <w:tcMar>
                    <w:top w:w="15" w:type="dxa"/>
                    <w:left w:w="15" w:type="dxa"/>
                    <w:right w:w="15" w:type="dxa"/>
                  </w:tcMar>
                  <w:vAlign w:val="center"/>
                </w:tcPr>
                <w:p>
                  <w:pPr>
                    <w:jc w:val="center"/>
                    <w:textAlignment w:val="center"/>
                    <w:rPr>
                      <w:kern w:val="0"/>
                      <w:szCs w:val="21"/>
                      <w:lang w:bidi="ar"/>
                    </w:rPr>
                  </w:pPr>
                </w:p>
              </w:tc>
              <w:tc>
                <w:tcPr>
                  <w:tcW w:w="964" w:type="dxa"/>
                  <w:noWrap w:val="0"/>
                  <w:tcMar>
                    <w:top w:w="15" w:type="dxa"/>
                    <w:left w:w="15" w:type="dxa"/>
                    <w:right w:w="15" w:type="dxa"/>
                  </w:tcMar>
                  <w:vAlign w:val="center"/>
                </w:tcPr>
                <w:p>
                  <w:pPr>
                    <w:jc w:val="center"/>
                    <w:textAlignment w:val="center"/>
                    <w:rPr>
                      <w:kern w:val="0"/>
                      <w:szCs w:val="21"/>
                      <w:lang w:bidi="ar"/>
                    </w:rPr>
                  </w:pPr>
                </w:p>
              </w:tc>
              <w:tc>
                <w:tcPr>
                  <w:tcW w:w="867"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14026</w:t>
                  </w:r>
                </w:p>
              </w:tc>
              <w:tc>
                <w:tcPr>
                  <w:tcW w:w="1185" w:type="dxa"/>
                  <w:noWrap w:val="0"/>
                  <w:tcMar>
                    <w:top w:w="15" w:type="dxa"/>
                    <w:left w:w="15" w:type="dxa"/>
                    <w:right w:w="15" w:type="dxa"/>
                  </w:tcMar>
                  <w:vAlign w:val="center"/>
                </w:tcPr>
                <w:p>
                  <w:pPr>
                    <w:ind w:firstLine="420"/>
                    <w:textAlignment w:val="center"/>
                    <w:rPr>
                      <w:kern w:val="0"/>
                      <w:szCs w:val="21"/>
                      <w:lang w:bidi="ar"/>
                    </w:rPr>
                  </w:pPr>
                  <w:r>
                    <w:rPr>
                      <w:kern w:val="0"/>
                      <w:szCs w:val="21"/>
                      <w:lang w:bidi="ar"/>
                    </w:rPr>
                    <w:t>外购</w:t>
                  </w:r>
                </w:p>
              </w:tc>
              <w:tc>
                <w:tcPr>
                  <w:tcW w:w="854" w:type="dxa"/>
                  <w:noWrap w:val="0"/>
                  <w:tcMar>
                    <w:top w:w="15" w:type="dxa"/>
                    <w:left w:w="15" w:type="dxa"/>
                    <w:right w:w="15" w:type="dxa"/>
                  </w:tcMar>
                  <w:vAlign w:val="center"/>
                </w:tcPr>
                <w:p>
                  <w:pPr>
                    <w:jc w:val="center"/>
                    <w:textAlignment w:val="center"/>
                    <w:rPr>
                      <w:kern w:val="0"/>
                      <w:szCs w:val="21"/>
                      <w:lang w:bidi="ar"/>
                    </w:rPr>
                  </w:pPr>
                </w:p>
              </w:tc>
              <w:tc>
                <w:tcPr>
                  <w:tcW w:w="911" w:type="dxa"/>
                  <w:vMerge w:val="continue"/>
                  <w:noWrap w:val="0"/>
                  <w:tcMar>
                    <w:top w:w="15" w:type="dxa"/>
                    <w:left w:w="15" w:type="dxa"/>
                    <w:right w:w="15" w:type="dxa"/>
                  </w:tcMar>
                  <w:vAlign w:val="center"/>
                </w:tcPr>
                <w:p>
                  <w:pPr>
                    <w:jc w:val="center"/>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51" w:type="dxa"/>
                  <w:vMerge w:val="continue"/>
                  <w:noWrap w:val="0"/>
                  <w:tcMar>
                    <w:top w:w="15" w:type="dxa"/>
                    <w:left w:w="15" w:type="dxa"/>
                    <w:right w:w="15" w:type="dxa"/>
                  </w:tcMar>
                  <w:vAlign w:val="center"/>
                </w:tcPr>
                <w:p>
                  <w:pPr>
                    <w:jc w:val="center"/>
                    <w:textAlignment w:val="center"/>
                    <w:rPr>
                      <w:kern w:val="0"/>
                      <w:szCs w:val="21"/>
                      <w:lang w:bidi="ar"/>
                    </w:rPr>
                  </w:pPr>
                </w:p>
              </w:tc>
              <w:tc>
                <w:tcPr>
                  <w:tcW w:w="889"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回填冲坑</w:t>
                  </w:r>
                </w:p>
              </w:tc>
              <w:tc>
                <w:tcPr>
                  <w:tcW w:w="964" w:type="dxa"/>
                  <w:noWrap w:val="0"/>
                  <w:tcMar>
                    <w:top w:w="15" w:type="dxa"/>
                    <w:left w:w="15" w:type="dxa"/>
                    <w:right w:w="15" w:type="dxa"/>
                  </w:tcMar>
                  <w:vAlign w:val="center"/>
                </w:tcPr>
                <w:p>
                  <w:pPr>
                    <w:jc w:val="center"/>
                    <w:textAlignment w:val="center"/>
                    <w:rPr>
                      <w:kern w:val="0"/>
                      <w:szCs w:val="21"/>
                      <w:lang w:bidi="ar"/>
                    </w:rPr>
                  </w:pPr>
                </w:p>
              </w:tc>
              <w:tc>
                <w:tcPr>
                  <w:tcW w:w="964"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14534</w:t>
                  </w:r>
                </w:p>
              </w:tc>
              <w:tc>
                <w:tcPr>
                  <w:tcW w:w="867" w:type="dxa"/>
                  <w:noWrap w:val="0"/>
                  <w:tcMar>
                    <w:top w:w="15" w:type="dxa"/>
                    <w:left w:w="15" w:type="dxa"/>
                    <w:right w:w="15" w:type="dxa"/>
                  </w:tcMar>
                  <w:vAlign w:val="center"/>
                </w:tcPr>
                <w:p>
                  <w:pPr>
                    <w:jc w:val="center"/>
                    <w:textAlignment w:val="center"/>
                    <w:rPr>
                      <w:kern w:val="0"/>
                      <w:szCs w:val="21"/>
                      <w:lang w:bidi="ar"/>
                    </w:rPr>
                  </w:pPr>
                </w:p>
              </w:tc>
              <w:tc>
                <w:tcPr>
                  <w:tcW w:w="1185" w:type="dxa"/>
                  <w:noWrap w:val="0"/>
                  <w:tcMar>
                    <w:top w:w="15" w:type="dxa"/>
                    <w:left w:w="15" w:type="dxa"/>
                    <w:right w:w="15" w:type="dxa"/>
                  </w:tcMar>
                  <w:vAlign w:val="center"/>
                </w:tcPr>
                <w:p>
                  <w:pPr>
                    <w:jc w:val="center"/>
                    <w:textAlignment w:val="center"/>
                    <w:rPr>
                      <w:kern w:val="0"/>
                      <w:szCs w:val="21"/>
                      <w:lang w:bidi="ar"/>
                    </w:rPr>
                  </w:pPr>
                </w:p>
              </w:tc>
              <w:tc>
                <w:tcPr>
                  <w:tcW w:w="854" w:type="dxa"/>
                  <w:noWrap w:val="0"/>
                  <w:tcMar>
                    <w:top w:w="15" w:type="dxa"/>
                    <w:left w:w="15" w:type="dxa"/>
                    <w:right w:w="15" w:type="dxa"/>
                  </w:tcMar>
                  <w:vAlign w:val="center"/>
                </w:tcPr>
                <w:p>
                  <w:pPr>
                    <w:jc w:val="center"/>
                    <w:textAlignment w:val="center"/>
                    <w:rPr>
                      <w:kern w:val="0"/>
                      <w:szCs w:val="21"/>
                      <w:lang w:bidi="ar"/>
                    </w:rPr>
                  </w:pPr>
                </w:p>
              </w:tc>
              <w:tc>
                <w:tcPr>
                  <w:tcW w:w="911" w:type="dxa"/>
                  <w:noWrap w:val="0"/>
                  <w:tcMar>
                    <w:top w:w="15" w:type="dxa"/>
                    <w:left w:w="15" w:type="dxa"/>
                    <w:right w:w="15" w:type="dxa"/>
                  </w:tcMar>
                  <w:vAlign w:val="center"/>
                </w:tcPr>
                <w:p>
                  <w:pPr>
                    <w:jc w:val="center"/>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1251"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施工生产生活区</w:t>
                  </w:r>
                </w:p>
              </w:tc>
              <w:tc>
                <w:tcPr>
                  <w:tcW w:w="889"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表土</w:t>
                  </w:r>
                </w:p>
              </w:tc>
              <w:tc>
                <w:tcPr>
                  <w:tcW w:w="964"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870</w:t>
                  </w:r>
                </w:p>
              </w:tc>
              <w:tc>
                <w:tcPr>
                  <w:tcW w:w="964"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990</w:t>
                  </w:r>
                </w:p>
              </w:tc>
              <w:tc>
                <w:tcPr>
                  <w:tcW w:w="867" w:type="dxa"/>
                  <w:noWrap w:val="0"/>
                  <w:tcMar>
                    <w:top w:w="15" w:type="dxa"/>
                    <w:left w:w="15" w:type="dxa"/>
                    <w:right w:w="15" w:type="dxa"/>
                  </w:tcMar>
                  <w:vAlign w:val="center"/>
                </w:tcPr>
                <w:p>
                  <w:pPr>
                    <w:jc w:val="center"/>
                    <w:textAlignment w:val="center"/>
                    <w:rPr>
                      <w:kern w:val="0"/>
                      <w:szCs w:val="21"/>
                      <w:lang w:bidi="ar"/>
                    </w:rPr>
                  </w:pPr>
                </w:p>
              </w:tc>
              <w:tc>
                <w:tcPr>
                  <w:tcW w:w="1185" w:type="dxa"/>
                  <w:noWrap w:val="0"/>
                  <w:tcMar>
                    <w:top w:w="15" w:type="dxa"/>
                    <w:left w:w="15" w:type="dxa"/>
                    <w:right w:w="15" w:type="dxa"/>
                  </w:tcMar>
                  <w:vAlign w:val="center"/>
                </w:tcPr>
                <w:p>
                  <w:pPr>
                    <w:jc w:val="center"/>
                    <w:textAlignment w:val="center"/>
                    <w:rPr>
                      <w:kern w:val="0"/>
                      <w:szCs w:val="21"/>
                      <w:lang w:bidi="ar"/>
                    </w:rPr>
                  </w:pPr>
                </w:p>
              </w:tc>
              <w:tc>
                <w:tcPr>
                  <w:tcW w:w="854" w:type="dxa"/>
                  <w:noWrap w:val="0"/>
                  <w:tcMar>
                    <w:top w:w="15" w:type="dxa"/>
                    <w:left w:w="15" w:type="dxa"/>
                    <w:right w:w="15" w:type="dxa"/>
                  </w:tcMar>
                  <w:vAlign w:val="center"/>
                </w:tcPr>
                <w:p>
                  <w:pPr>
                    <w:jc w:val="center"/>
                    <w:textAlignment w:val="center"/>
                    <w:rPr>
                      <w:kern w:val="0"/>
                      <w:szCs w:val="21"/>
                      <w:lang w:bidi="ar"/>
                    </w:rPr>
                  </w:pPr>
                </w:p>
              </w:tc>
              <w:tc>
                <w:tcPr>
                  <w:tcW w:w="911" w:type="dxa"/>
                  <w:noWrap w:val="0"/>
                  <w:tcMar>
                    <w:top w:w="15" w:type="dxa"/>
                    <w:left w:w="15" w:type="dxa"/>
                    <w:right w:w="15" w:type="dxa"/>
                  </w:tcMar>
                  <w:vAlign w:val="center"/>
                </w:tcPr>
                <w:p>
                  <w:pPr>
                    <w:jc w:val="center"/>
                    <w:textAlignment w:val="center"/>
                    <w:rPr>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2140" w:type="dxa"/>
                  <w:gridSpan w:val="2"/>
                  <w:noWrap w:val="0"/>
                  <w:tcMar>
                    <w:top w:w="15" w:type="dxa"/>
                    <w:left w:w="15" w:type="dxa"/>
                    <w:right w:w="15" w:type="dxa"/>
                  </w:tcMar>
                  <w:vAlign w:val="center"/>
                </w:tcPr>
                <w:p>
                  <w:pPr>
                    <w:jc w:val="center"/>
                    <w:textAlignment w:val="center"/>
                    <w:rPr>
                      <w:kern w:val="0"/>
                      <w:szCs w:val="21"/>
                      <w:lang w:bidi="ar"/>
                    </w:rPr>
                  </w:pPr>
                  <w:r>
                    <w:rPr>
                      <w:kern w:val="0"/>
                      <w:szCs w:val="21"/>
                      <w:lang w:bidi="ar"/>
                    </w:rPr>
                    <w:t>总计</w:t>
                  </w:r>
                </w:p>
              </w:tc>
              <w:tc>
                <w:tcPr>
                  <w:tcW w:w="964"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4539</w:t>
                  </w:r>
                </w:p>
              </w:tc>
              <w:tc>
                <w:tcPr>
                  <w:tcW w:w="964"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18565</w:t>
                  </w:r>
                </w:p>
              </w:tc>
              <w:tc>
                <w:tcPr>
                  <w:tcW w:w="867" w:type="dxa"/>
                  <w:noWrap w:val="0"/>
                  <w:tcMar>
                    <w:top w:w="15" w:type="dxa"/>
                    <w:left w:w="15" w:type="dxa"/>
                    <w:right w:w="15" w:type="dxa"/>
                  </w:tcMar>
                  <w:vAlign w:val="center"/>
                </w:tcPr>
                <w:p>
                  <w:pPr>
                    <w:jc w:val="center"/>
                    <w:textAlignment w:val="center"/>
                    <w:rPr>
                      <w:kern w:val="0"/>
                      <w:szCs w:val="21"/>
                      <w:lang w:bidi="ar"/>
                    </w:rPr>
                  </w:pPr>
                  <w:r>
                    <w:rPr>
                      <w:kern w:val="0"/>
                      <w:szCs w:val="21"/>
                      <w:lang w:bidi="ar"/>
                    </w:rPr>
                    <w:t>14026</w:t>
                  </w:r>
                </w:p>
              </w:tc>
              <w:tc>
                <w:tcPr>
                  <w:tcW w:w="1185" w:type="dxa"/>
                  <w:noWrap w:val="0"/>
                  <w:tcMar>
                    <w:top w:w="15" w:type="dxa"/>
                    <w:left w:w="15" w:type="dxa"/>
                    <w:right w:w="15" w:type="dxa"/>
                  </w:tcMar>
                  <w:vAlign w:val="center"/>
                </w:tcPr>
                <w:p>
                  <w:pPr>
                    <w:jc w:val="center"/>
                    <w:textAlignment w:val="center"/>
                    <w:rPr>
                      <w:kern w:val="0"/>
                      <w:szCs w:val="21"/>
                      <w:lang w:bidi="ar"/>
                    </w:rPr>
                  </w:pPr>
                </w:p>
              </w:tc>
              <w:tc>
                <w:tcPr>
                  <w:tcW w:w="854" w:type="dxa"/>
                  <w:noWrap w:val="0"/>
                  <w:tcMar>
                    <w:top w:w="15" w:type="dxa"/>
                    <w:left w:w="15" w:type="dxa"/>
                    <w:right w:w="15" w:type="dxa"/>
                  </w:tcMar>
                  <w:vAlign w:val="center"/>
                </w:tcPr>
                <w:p>
                  <w:pPr>
                    <w:jc w:val="center"/>
                    <w:textAlignment w:val="center"/>
                    <w:rPr>
                      <w:kern w:val="0"/>
                      <w:szCs w:val="21"/>
                      <w:lang w:bidi="ar"/>
                    </w:rPr>
                  </w:pPr>
                </w:p>
              </w:tc>
              <w:tc>
                <w:tcPr>
                  <w:tcW w:w="911" w:type="dxa"/>
                  <w:noWrap w:val="0"/>
                  <w:tcMar>
                    <w:top w:w="15" w:type="dxa"/>
                    <w:left w:w="15" w:type="dxa"/>
                    <w:right w:w="15" w:type="dxa"/>
                  </w:tcMar>
                  <w:vAlign w:val="center"/>
                </w:tcPr>
                <w:p>
                  <w:pPr>
                    <w:widowControl/>
                    <w:jc w:val="center"/>
                    <w:textAlignment w:val="center"/>
                    <w:rPr>
                      <w:kern w:val="0"/>
                      <w:szCs w:val="21"/>
                      <w:lang w:bidi="ar"/>
                    </w:rPr>
                  </w:pPr>
                </w:p>
              </w:tc>
            </w:tr>
          </w:tbl>
          <w:p>
            <w:pPr>
              <w:jc w:val="center"/>
              <w:rPr>
                <w:b/>
                <w:sz w:val="24"/>
                <w:vertAlign w:val="superscript"/>
                <w:lang w:val="zh-CN"/>
              </w:rPr>
            </w:pPr>
            <w:r>
              <w:rPr>
                <w:rFonts w:hint="eastAsia"/>
                <w:b/>
                <w:sz w:val="24"/>
              </w:rPr>
              <w:t xml:space="preserve">             </w:t>
            </w:r>
          </w:p>
          <w:p>
            <w:pPr>
              <w:pStyle w:val="4"/>
              <w:spacing w:line="360" w:lineRule="auto"/>
              <w:ind w:firstLine="480"/>
              <w:rPr>
                <w:rFonts w:hint="eastAsia"/>
                <w:sz w:val="24"/>
              </w:rPr>
            </w:pPr>
            <w:r>
              <w:rPr>
                <w:rFonts w:hint="eastAsia"/>
                <w:sz w:val="24"/>
              </w:rPr>
              <w:t>（3）移民安置</w:t>
            </w:r>
          </w:p>
          <w:p>
            <w:pPr>
              <w:spacing w:line="360" w:lineRule="auto"/>
              <w:ind w:firstLine="480" w:firstLineChars="200"/>
            </w:pPr>
            <w:r>
              <w:rPr>
                <w:rFonts w:hint="eastAsia"/>
                <w:sz w:val="24"/>
              </w:rPr>
              <w:t>本工程建设无新增永久征收耕地，不涉及生产安置人口，也没有受影响需要动迁的居民。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710" w:type="dxa"/>
            <w:noWrap w:val="0"/>
            <w:vAlign w:val="center"/>
          </w:tcPr>
          <w:p>
            <w:pPr>
              <w:adjustRightInd w:val="0"/>
              <w:snapToGrid w:val="0"/>
              <w:jc w:val="center"/>
              <w:rPr>
                <w:rFonts w:ascii="宋体" w:hAnsi="宋体" w:cs="宋体"/>
                <w:kern w:val="0"/>
                <w:sz w:val="24"/>
              </w:rPr>
            </w:pPr>
            <w:r>
              <w:rPr>
                <w:rFonts w:hint="eastAsia" w:ascii="宋体" w:hAnsi="宋体" w:cs="宋体"/>
                <w:kern w:val="0"/>
                <w:sz w:val="24"/>
              </w:rPr>
              <w:t>施工方案</w:t>
            </w:r>
          </w:p>
        </w:tc>
        <w:tc>
          <w:tcPr>
            <w:tcW w:w="8380" w:type="dxa"/>
            <w:noWrap w:val="0"/>
            <w:vAlign w:val="center"/>
          </w:tcPr>
          <w:p>
            <w:pPr>
              <w:widowControl/>
              <w:spacing w:line="360" w:lineRule="auto"/>
              <w:jc w:val="left"/>
              <w:rPr>
                <w:b/>
                <w:sz w:val="24"/>
              </w:rPr>
            </w:pPr>
            <w:r>
              <w:rPr>
                <w:rFonts w:hint="eastAsia"/>
                <w:b/>
                <w:sz w:val="24"/>
              </w:rPr>
              <w:t>1、施工工艺</w:t>
            </w:r>
          </w:p>
          <w:p>
            <w:pPr>
              <w:spacing w:line="360" w:lineRule="auto"/>
              <w:ind w:firstLine="480" w:firstLineChars="200"/>
              <w:rPr>
                <w:rFonts w:hint="eastAsia"/>
                <w:sz w:val="24"/>
              </w:rPr>
            </w:pPr>
            <w:r>
              <w:rPr>
                <w:rFonts w:hint="eastAsia"/>
                <w:sz w:val="24"/>
              </w:rPr>
              <w:t>（1）泄洪闸进口段维修工程</w:t>
            </w:r>
          </w:p>
          <w:p>
            <w:pPr>
              <w:spacing w:line="360" w:lineRule="auto"/>
              <w:ind w:firstLine="480" w:firstLineChars="200"/>
              <w:rPr>
                <w:rFonts w:hint="eastAsia"/>
                <w:sz w:val="24"/>
              </w:rPr>
            </w:pPr>
            <w:bookmarkStart w:id="17" w:name="_Toc305162732"/>
            <w:bookmarkStart w:id="18" w:name="_Toc307318664"/>
            <w:bookmarkStart w:id="19" w:name="_Toc305857545"/>
            <w:bookmarkStart w:id="20" w:name="_Toc306277031"/>
            <w:bookmarkStart w:id="21" w:name="_Toc305936017"/>
            <w:r>
              <w:rPr>
                <w:rFonts w:hint="eastAsia"/>
                <w:sz w:val="24"/>
              </w:rPr>
              <w:t>1）土方开挖：土方开挖采用1m</w:t>
            </w:r>
            <w:r>
              <w:rPr>
                <w:rFonts w:hint="eastAsia"/>
                <w:sz w:val="24"/>
                <w:vertAlign w:val="superscript"/>
              </w:rPr>
              <w:t>3</w:t>
            </w:r>
            <w:r>
              <w:rPr>
                <w:rFonts w:hint="eastAsia"/>
                <w:sz w:val="24"/>
              </w:rPr>
              <w:t>挖掘机。</w:t>
            </w:r>
          </w:p>
          <w:p>
            <w:pPr>
              <w:spacing w:line="360" w:lineRule="auto"/>
              <w:ind w:firstLine="480" w:firstLineChars="200"/>
              <w:rPr>
                <w:rFonts w:hint="eastAsia"/>
                <w:sz w:val="24"/>
              </w:rPr>
            </w:pPr>
            <w:r>
              <w:rPr>
                <w:rFonts w:hint="eastAsia"/>
                <w:sz w:val="24"/>
              </w:rPr>
              <w:t>2）土方填筑：土方填筑根据设计要求，按碾压试验数据逐层加高碾压。土方填筑首先使用工程开挖料，不足土方采用1m</w:t>
            </w:r>
            <w:r>
              <w:rPr>
                <w:rFonts w:hint="eastAsia"/>
                <w:sz w:val="24"/>
                <w:vertAlign w:val="superscript"/>
              </w:rPr>
              <w:t>3</w:t>
            </w:r>
            <w:r>
              <w:rPr>
                <w:rFonts w:hint="eastAsia"/>
                <w:sz w:val="24"/>
              </w:rPr>
              <w:t>挖掘机挖装8t自卸汽车运输0.3km至施工现场，拖拉机压实，局部采用蛙夯夯实。</w:t>
            </w:r>
          </w:p>
          <w:p>
            <w:pPr>
              <w:spacing w:line="360" w:lineRule="auto"/>
              <w:ind w:firstLine="480" w:firstLineChars="200"/>
              <w:rPr>
                <w:rFonts w:hint="eastAsia"/>
                <w:sz w:val="24"/>
              </w:rPr>
            </w:pPr>
            <w:r>
              <w:rPr>
                <w:rFonts w:hint="eastAsia"/>
                <w:sz w:val="24"/>
              </w:rPr>
              <w:t>3）建筑物拆除：液压破碎锤拆除钢筋混凝土，挖掘机装自卸汽车运输0.3km，至弃土坑。</w:t>
            </w:r>
          </w:p>
          <w:p>
            <w:pPr>
              <w:spacing w:line="360" w:lineRule="auto"/>
              <w:ind w:firstLine="480" w:firstLineChars="200"/>
              <w:rPr>
                <w:rFonts w:hint="eastAsia"/>
                <w:sz w:val="24"/>
              </w:rPr>
            </w:pPr>
            <w:r>
              <w:rPr>
                <w:rFonts w:hint="eastAsia"/>
                <w:sz w:val="24"/>
              </w:rPr>
              <w:t>4）混凝土工程：砼拌制采用0.8m</w:t>
            </w:r>
            <w:r>
              <w:rPr>
                <w:rFonts w:hint="eastAsia"/>
                <w:sz w:val="24"/>
                <w:vertAlign w:val="superscript"/>
              </w:rPr>
              <w:t>3</w:t>
            </w:r>
            <w:r>
              <w:rPr>
                <w:rFonts w:hint="eastAsia"/>
                <w:sz w:val="24"/>
              </w:rPr>
              <w:t>砼拌和机，机械翻斗车运输，履带吊3m</w:t>
            </w:r>
            <w:r>
              <w:rPr>
                <w:rFonts w:hint="eastAsia"/>
                <w:sz w:val="24"/>
                <w:vertAlign w:val="superscript"/>
              </w:rPr>
              <w:t>3</w:t>
            </w:r>
            <w:r>
              <w:rPr>
                <w:rFonts w:hint="eastAsia"/>
                <w:sz w:val="24"/>
              </w:rPr>
              <w:t>吊罐，机械振捣器。</w:t>
            </w:r>
          </w:p>
          <w:p>
            <w:pPr>
              <w:spacing w:line="360" w:lineRule="auto"/>
              <w:ind w:firstLine="480" w:firstLineChars="200"/>
              <w:rPr>
                <w:rFonts w:hint="eastAsia"/>
                <w:sz w:val="24"/>
              </w:rPr>
            </w:pPr>
            <w:r>
              <w:rPr>
                <w:rFonts w:hint="eastAsia"/>
                <w:sz w:val="24"/>
              </w:rPr>
              <w:t>（2）消力池及海漫段工程</w:t>
            </w:r>
          </w:p>
          <w:p>
            <w:pPr>
              <w:spacing w:line="360" w:lineRule="auto"/>
              <w:ind w:firstLine="480" w:firstLineChars="200"/>
              <w:rPr>
                <w:rFonts w:hint="eastAsia"/>
                <w:sz w:val="24"/>
              </w:rPr>
            </w:pPr>
            <w:r>
              <w:rPr>
                <w:rFonts w:hint="eastAsia"/>
                <w:sz w:val="24"/>
              </w:rPr>
              <w:t>消力池及海漫段施工工艺流程为：土方开挖→无纺布铺设→铺筑砂砾石垫层→格宾石笼。</w:t>
            </w:r>
          </w:p>
          <w:p>
            <w:pPr>
              <w:spacing w:line="360" w:lineRule="auto"/>
              <w:ind w:firstLine="480" w:firstLineChars="200"/>
              <w:rPr>
                <w:rFonts w:hint="eastAsia"/>
                <w:sz w:val="24"/>
              </w:rPr>
            </w:pPr>
            <w:r>
              <w:rPr>
                <w:rFonts w:hint="eastAsia"/>
                <w:sz w:val="24"/>
              </w:rPr>
              <w:t>1）格宾石笼：格宾石笼应由低到高进行铺砌，石笼内填石应密实，石块间要嵌紧、整平。</w:t>
            </w:r>
          </w:p>
          <w:p>
            <w:pPr>
              <w:spacing w:line="360" w:lineRule="auto"/>
              <w:ind w:firstLine="480" w:firstLineChars="200"/>
              <w:rPr>
                <w:rFonts w:hint="eastAsia"/>
                <w:sz w:val="24"/>
              </w:rPr>
            </w:pPr>
            <w:r>
              <w:rPr>
                <w:rFonts w:hint="eastAsia"/>
                <w:sz w:val="24"/>
              </w:rPr>
              <w:t>2）土工布铺设：①土工布接头采用缝合。②土工布的长边顺河铺设，铺设时避免张拉受力、折叠、打皱等情况发生。有破损处应及时补好或更换。③已铺设完成的工段，应及时铺筑上层堤土料，严禁人车通行。铺设时施工人员穿胶鞋作业。④雨天停止铺筑。</w:t>
            </w:r>
          </w:p>
          <w:p>
            <w:pPr>
              <w:spacing w:line="360" w:lineRule="auto"/>
              <w:ind w:firstLine="480" w:firstLineChars="200"/>
              <w:rPr>
                <w:sz w:val="24"/>
              </w:rPr>
            </w:pPr>
            <w:r>
              <w:rPr>
                <w:rFonts w:hint="eastAsia"/>
                <w:sz w:val="24"/>
              </w:rPr>
              <w:t>3）砂砾石垫层：铺设时由底部向上铺设，用人工或平板振捣器振实。</w:t>
            </w:r>
          </w:p>
          <w:bookmarkEnd w:id="17"/>
          <w:bookmarkEnd w:id="18"/>
          <w:bookmarkEnd w:id="19"/>
          <w:bookmarkEnd w:id="20"/>
          <w:bookmarkEnd w:id="21"/>
          <w:p>
            <w:pPr>
              <w:spacing w:line="360" w:lineRule="auto"/>
              <w:rPr>
                <w:b/>
                <w:sz w:val="24"/>
              </w:rPr>
            </w:pPr>
            <w:r>
              <w:rPr>
                <w:rFonts w:hint="eastAsia"/>
                <w:b/>
                <w:sz w:val="24"/>
              </w:rPr>
              <w:t>2、施工总进度</w:t>
            </w:r>
          </w:p>
          <w:p>
            <w:pPr>
              <w:spacing w:line="360" w:lineRule="auto"/>
              <w:ind w:firstLine="480"/>
              <w:rPr>
                <w:rFonts w:hint="eastAsia"/>
                <w:sz w:val="24"/>
              </w:rPr>
            </w:pPr>
            <w:r>
              <w:rPr>
                <w:rFonts w:hint="eastAsia"/>
                <w:sz w:val="24"/>
              </w:rPr>
              <w:t>根据本工程实际情况，施工工期为6个月。包括工程准备期，主体工程施工期，工程完建期。进度安排如下：</w:t>
            </w:r>
          </w:p>
          <w:p>
            <w:pPr>
              <w:spacing w:line="360" w:lineRule="auto"/>
              <w:ind w:firstLine="480"/>
              <w:rPr>
                <w:rFonts w:hint="eastAsia"/>
                <w:sz w:val="24"/>
              </w:rPr>
            </w:pPr>
            <w:r>
              <w:rPr>
                <w:rFonts w:hint="eastAsia"/>
                <w:sz w:val="24"/>
              </w:rPr>
              <w:t>施工准备：第一年6月份至8月份，包括场地平整临时工厂仓库及房屋道路交通等。</w:t>
            </w:r>
          </w:p>
          <w:p>
            <w:pPr>
              <w:spacing w:line="360" w:lineRule="auto"/>
              <w:ind w:firstLine="480"/>
            </w:pPr>
            <w:r>
              <w:rPr>
                <w:rFonts w:hint="eastAsia"/>
                <w:sz w:val="24"/>
              </w:rPr>
              <w:t>主体工程施工期：第一年9月至第一年11月。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710" w:type="dxa"/>
            <w:noWrap w:val="0"/>
            <w:vAlign w:val="center"/>
          </w:tcPr>
          <w:p>
            <w:pPr>
              <w:adjustRightInd w:val="0"/>
              <w:snapToGrid w:val="0"/>
              <w:jc w:val="center"/>
              <w:rPr>
                <w:rFonts w:ascii="宋体" w:hAnsi="宋体" w:cs="宋体"/>
                <w:kern w:val="0"/>
                <w:sz w:val="24"/>
              </w:rPr>
            </w:pPr>
            <w:r>
              <w:rPr>
                <w:rFonts w:hint="eastAsia" w:ascii="宋体" w:hAnsi="宋体" w:cs="宋体"/>
                <w:kern w:val="0"/>
                <w:sz w:val="24"/>
              </w:rPr>
              <w:t>其他</w:t>
            </w:r>
          </w:p>
        </w:tc>
        <w:tc>
          <w:tcPr>
            <w:tcW w:w="8380" w:type="dxa"/>
            <w:noWrap w:val="0"/>
            <w:vAlign w:val="center"/>
          </w:tcPr>
          <w:p>
            <w:pPr>
              <w:pStyle w:val="40"/>
              <w:ind w:firstLine="480"/>
            </w:pPr>
            <w:r>
              <w:rPr>
                <w:rFonts w:hint="eastAsia" w:ascii="Times New Roman" w:hAnsi="Times New Roman"/>
                <w:szCs w:val="24"/>
              </w:rPr>
              <w:t>无</w:t>
            </w:r>
          </w:p>
        </w:tc>
      </w:tr>
    </w:tbl>
    <w:p>
      <w:pPr>
        <w:pStyle w:val="12"/>
        <w:jc w:val="center"/>
        <w:outlineLvl w:val="0"/>
        <w:rPr>
          <w:rFonts w:ascii="黑体" w:hAnsi="黑体" w:eastAsia="黑体"/>
          <w:snapToGrid w:val="0"/>
          <w:sz w:val="30"/>
          <w:szCs w:val="30"/>
        </w:rPr>
      </w:pPr>
      <w:r>
        <w:rPr>
          <w:rFonts w:eastAsia="仿宋_GB2312"/>
          <w:b/>
          <w:bCs/>
        </w:rPr>
        <w:br w:type="page"/>
      </w:r>
      <w:bookmarkStart w:id="22" w:name="_Toc138834965"/>
      <w:r>
        <w:rPr>
          <w:rFonts w:hint="eastAsia" w:ascii="黑体" w:hAnsi="黑体" w:eastAsia="黑体"/>
          <w:snapToGrid w:val="0"/>
          <w:sz w:val="30"/>
          <w:szCs w:val="30"/>
        </w:rPr>
        <w:t>三、生态环境现状、保护目标及评价标准</w:t>
      </w:r>
      <w:bookmarkEnd w:id="22"/>
    </w:p>
    <w:tbl>
      <w:tblPr>
        <w:tblStyle w:val="14"/>
        <w:tblW w:w="94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9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2" w:hRule="atLeast"/>
          <w:jc w:val="center"/>
        </w:trPr>
        <w:tc>
          <w:tcPr>
            <w:tcW w:w="456" w:type="dxa"/>
            <w:noWrap w:val="0"/>
            <w:vAlign w:val="center"/>
          </w:tcPr>
          <w:p>
            <w:pPr>
              <w:adjustRightInd w:val="0"/>
              <w:snapToGrid w:val="0"/>
              <w:jc w:val="center"/>
              <w:rPr>
                <w:rFonts w:ascii="宋体" w:hAnsi="宋体" w:cs="宋体"/>
                <w:kern w:val="0"/>
                <w:sz w:val="24"/>
              </w:rPr>
            </w:pPr>
            <w:r>
              <w:rPr>
                <w:rFonts w:hint="eastAsia" w:ascii="宋体" w:hAnsi="宋体" w:cs="宋体"/>
                <w:kern w:val="0"/>
                <w:sz w:val="24"/>
              </w:rPr>
              <w:t>生态环境现状</w:t>
            </w:r>
          </w:p>
        </w:tc>
        <w:tc>
          <w:tcPr>
            <w:tcW w:w="8994" w:type="dxa"/>
            <w:noWrap w:val="0"/>
            <w:vAlign w:val="center"/>
          </w:tcPr>
          <w:p>
            <w:pPr>
              <w:widowControl/>
              <w:jc w:val="left"/>
              <w:rPr>
                <w:rFonts w:hint="eastAsia"/>
              </w:rPr>
            </w:pPr>
          </w:p>
          <w:p>
            <w:pPr>
              <w:widowControl/>
              <w:spacing w:line="360" w:lineRule="auto"/>
              <w:rPr>
                <w:b/>
                <w:sz w:val="24"/>
              </w:rPr>
            </w:pPr>
            <w:r>
              <w:rPr>
                <w:rFonts w:hint="eastAsia"/>
                <w:b/>
                <w:sz w:val="24"/>
              </w:rPr>
              <w:t>1、陆生生态环境</w:t>
            </w:r>
          </w:p>
          <w:p>
            <w:pPr>
              <w:adjustRightInd w:val="0"/>
              <w:snapToGrid w:val="0"/>
              <w:spacing w:line="360" w:lineRule="auto"/>
              <w:ind w:firstLine="480" w:firstLineChars="200"/>
              <w:rPr>
                <w:rFonts w:hint="eastAsia"/>
                <w:sz w:val="24"/>
              </w:rPr>
            </w:pPr>
            <w:r>
              <w:rPr>
                <w:rFonts w:hint="eastAsia"/>
                <w:sz w:val="24"/>
              </w:rPr>
              <w:t>野生动物资源种类大体为27目68科281种，其中两栖类共有2目5科8种；爬行类共有3目4科10种；鸟类16目45科229种，其中，国家I级重点保护鸟类有东方白鹳、白鹤、白头鹤、丹顶鹤、黑颈鹤、大鸨、金雕7种；国家Ⅱ级保护鸟类32种，主要有白琵鹭、大天鹅、小天鹅、灰鹤、雪鸮、白枕鹤、鸳鸯等。非国家重点保护鸟类有190种；兽类6目14科34种，其中国家Ⅰ级保护兽类有紫貂、梅花鹿2种，国家Ⅱ级保护兽类有6种。</w:t>
            </w:r>
          </w:p>
          <w:p>
            <w:pPr>
              <w:adjustRightInd w:val="0"/>
              <w:snapToGrid w:val="0"/>
              <w:spacing w:line="360" w:lineRule="auto"/>
              <w:ind w:firstLine="480" w:firstLineChars="200"/>
              <w:rPr>
                <w:rFonts w:hint="eastAsia"/>
                <w:sz w:val="24"/>
              </w:rPr>
            </w:pPr>
            <w:r>
              <w:rPr>
                <w:rFonts w:hint="eastAsia"/>
                <w:sz w:val="24"/>
              </w:rPr>
              <w:t>野生植物595种，隶属于131科。包括苔藓植物34科63种；蕨类植物12科42种；裸子植物1科5种；被子植物84科485种。其中，国家重点保护野生植物有红松、野大豆和黄芪。分布在市辖区内原生态森林资源中，还生长着各种柳树、槐树、黄菠萝、胡桃楸、水曲柳等珍稀树种。同时，还有在天然大草原里生长着的野生羊草、香蒲、碱草、芦苇等及龙胆草、桔梗、防风、柴胡、刺五加、五味子等中草药材。</w:t>
            </w:r>
          </w:p>
          <w:p>
            <w:pPr>
              <w:adjustRightInd w:val="0"/>
              <w:snapToGrid w:val="0"/>
              <w:spacing w:line="360" w:lineRule="auto"/>
              <w:ind w:firstLine="480" w:firstLineChars="200"/>
              <w:rPr>
                <w:rFonts w:hint="eastAsia"/>
                <w:sz w:val="24"/>
              </w:rPr>
            </w:pPr>
            <w:r>
              <w:rPr>
                <w:rFonts w:hint="eastAsia"/>
                <w:sz w:val="24"/>
              </w:rPr>
              <w:t>项目所在的位置以农田生态系统为主，农田生态系统的作物种类有玉米、水稻、大豆及经济作物等。工程附近有林地以岛状林、农田防护林分布在灌区内，树种以杨桦林、柞树林为主，下木主要有榛子、忍冬、卫矛和胡枝子等，草本植物是当地常见的禾本科、菊科、豆科等植物及农田杂草等。区域内野生动物主要有松鼠、东北兔以及小型啮齿类动物，广泛分布于农田与居民集中居住的村屯周围区域中。属寒地黑土的核心区，耕地面积324万亩，80%以上耕地为黑土、黑钙土和草甸土。工程区域及附近无国家级重点保护及珍稀野生动物。</w:t>
            </w:r>
          </w:p>
          <w:p>
            <w:pPr>
              <w:widowControl/>
              <w:spacing w:line="360" w:lineRule="auto"/>
              <w:rPr>
                <w:b/>
                <w:sz w:val="24"/>
              </w:rPr>
            </w:pPr>
            <w:r>
              <w:rPr>
                <w:rFonts w:hint="eastAsia"/>
                <w:b/>
                <w:sz w:val="24"/>
              </w:rPr>
              <w:t>2、水生生态环境</w:t>
            </w:r>
          </w:p>
          <w:p>
            <w:pPr>
              <w:adjustRightInd w:val="0"/>
              <w:snapToGrid w:val="0"/>
              <w:spacing w:line="360" w:lineRule="auto"/>
              <w:ind w:firstLine="480" w:firstLineChars="200"/>
              <w:rPr>
                <w:rFonts w:hint="eastAsia"/>
                <w:sz w:val="24"/>
              </w:rPr>
            </w:pPr>
            <w:r>
              <w:rPr>
                <w:rFonts w:hint="eastAsia"/>
                <w:sz w:val="24"/>
              </w:rPr>
              <w:t>根据《呼兰河流域水利综合规划水生生态现状调查与评价报告书》，呼兰河浮游植物经鉴定共计7门72种属，其中，硅藻门的种类最多，为39种属，占54%。呼兰河浮游动物经鉴定共计4类22种属。其中，原生动物、轮虫的种类较多，各9种属；另外，桡足类3种属，枝角类1种属。呼兰河干流底栖动物优势种主要有黑龙江短沟蜷和小划蝽等。呼兰河水生维管束植物2大类别（被子植物、单子叶植物）共计15科51种，共有浮叶植物、挺水植物、滨水植物和沉水植物4种生态类群。呼兰河流域渔业资源丰富，共有鱼类物种8目16科63种，其中鲤科37种，占58.7%；鳅科4种，占6.35%；鲿科3种，占4.76%；七鳃鳗科、鲇科、塘鳢科、暇虎鱼科、鲑科、杜父鱼科各2种，分别占3.17%；狗鱼科、银鱼科、鮨科、鳢科、茴鱼科、鳕科、青鳉科各1种，分别占1.59%。</w:t>
            </w:r>
          </w:p>
          <w:p>
            <w:pPr>
              <w:adjustRightInd w:val="0"/>
              <w:snapToGrid w:val="0"/>
              <w:spacing w:line="360" w:lineRule="auto"/>
              <w:ind w:firstLine="480" w:firstLineChars="200"/>
              <w:rPr>
                <w:rFonts w:hint="eastAsia"/>
                <w:sz w:val="24"/>
              </w:rPr>
            </w:pPr>
            <w:r>
              <w:rPr>
                <w:rFonts w:hint="eastAsia"/>
                <w:sz w:val="24"/>
              </w:rPr>
              <w:t>根据调查，泄洪闸所在位置及附近河段未发现保护鱼类及其他经济鱼类“三场”。</w:t>
            </w:r>
          </w:p>
          <w:p>
            <w:pPr>
              <w:widowControl/>
              <w:spacing w:line="360" w:lineRule="auto"/>
              <w:rPr>
                <w:b/>
                <w:sz w:val="24"/>
              </w:rPr>
            </w:pPr>
            <w:r>
              <w:rPr>
                <w:rFonts w:hint="eastAsia"/>
                <w:b/>
                <w:sz w:val="24"/>
              </w:rPr>
              <w:t>3、其它</w:t>
            </w:r>
          </w:p>
          <w:p>
            <w:pPr>
              <w:widowControl/>
              <w:spacing w:line="360" w:lineRule="auto"/>
              <w:ind w:firstLine="480" w:firstLineChars="200"/>
              <w:jc w:val="left"/>
              <w:rPr>
                <w:rFonts w:hint="eastAsia"/>
                <w:sz w:val="24"/>
              </w:rPr>
            </w:pPr>
            <w:r>
              <w:rPr>
                <w:rFonts w:hint="eastAsia"/>
                <w:sz w:val="24"/>
              </w:rPr>
              <w:t>（1）地表水环境</w:t>
            </w:r>
          </w:p>
          <w:p>
            <w:pPr>
              <w:spacing w:line="360" w:lineRule="auto"/>
              <w:ind w:firstLine="600" w:firstLineChars="250"/>
              <w:rPr>
                <w:rFonts w:hint="eastAsia"/>
                <w:sz w:val="24"/>
              </w:rPr>
            </w:pPr>
            <w:r>
              <w:rPr>
                <w:rFonts w:hint="eastAsia"/>
                <w:sz w:val="24"/>
              </w:rPr>
              <w:t>1）水功能区划分</w:t>
            </w:r>
          </w:p>
          <w:p>
            <w:pPr>
              <w:spacing w:line="360" w:lineRule="auto"/>
              <w:ind w:firstLine="540" w:firstLineChars="225"/>
              <w:rPr>
                <w:rFonts w:hint="eastAsia"/>
                <w:sz w:val="24"/>
                <w:lang w:bidi="en-US"/>
              </w:rPr>
            </w:pPr>
            <w:r>
              <w:rPr>
                <w:rFonts w:hint="eastAsia"/>
                <w:sz w:val="24"/>
                <w:lang w:bidi="en-US"/>
              </w:rPr>
              <w:t>本项目主要涉及呼兰河干流。</w:t>
            </w:r>
          </w:p>
          <w:p>
            <w:pPr>
              <w:spacing w:line="360" w:lineRule="auto"/>
              <w:ind w:firstLine="540" w:firstLineChars="225"/>
              <w:rPr>
                <w:rFonts w:hint="eastAsia"/>
                <w:sz w:val="24"/>
                <w:lang w:bidi="en-US"/>
              </w:rPr>
            </w:pPr>
            <w:r>
              <w:rPr>
                <w:rFonts w:hint="eastAsia"/>
                <w:sz w:val="24"/>
                <w:lang w:bidi="en-US"/>
              </w:rPr>
              <w:t>根据《全国重要江河湖泊水功能区划（2011-2030）》，工程所在位置涉及的呼兰河干流水功能区划分情况见表3.1-1，水功能区的水质目标为Ⅲ～Ⅳ类标准，因此，本项目评价水体呼兰河水质类别执行《地表水环境质量标准》（GB3838-2002）中的Ⅲ类标准。</w:t>
            </w:r>
          </w:p>
          <w:p>
            <w:pPr>
              <w:spacing w:line="276" w:lineRule="auto"/>
              <w:ind w:firstLine="482"/>
              <w:jc w:val="center"/>
              <w:rPr>
                <w:rFonts w:hint="eastAsia"/>
                <w:b/>
                <w:bCs/>
                <w:sz w:val="24"/>
              </w:rPr>
            </w:pPr>
            <w:r>
              <w:rPr>
                <w:b/>
                <w:bCs/>
                <w:sz w:val="24"/>
              </w:rPr>
              <w:t>表</w:t>
            </w:r>
            <w:r>
              <w:rPr>
                <w:rFonts w:hint="eastAsia"/>
                <w:b/>
                <w:bCs/>
                <w:sz w:val="24"/>
              </w:rPr>
              <w:t>3.1</w:t>
            </w:r>
            <w:r>
              <w:rPr>
                <w:b/>
                <w:bCs/>
                <w:sz w:val="24"/>
              </w:rPr>
              <w:t>-</w:t>
            </w:r>
            <w:r>
              <w:rPr>
                <w:rFonts w:hint="eastAsia"/>
                <w:b/>
                <w:bCs/>
                <w:sz w:val="24"/>
              </w:rPr>
              <w:t>1 项目涉及的呼兰河干流部分水功能区划分情况</w:t>
            </w:r>
            <w:r>
              <w:rPr>
                <w:b/>
                <w:bCs/>
                <w:sz w:val="24"/>
              </w:rPr>
              <w:t>表</w:t>
            </w:r>
          </w:p>
          <w:tbl>
            <w:tblPr>
              <w:tblStyle w:val="14"/>
              <w:tblW w:w="47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916"/>
              <w:gridCol w:w="2274"/>
              <w:gridCol w:w="1132"/>
              <w:gridCol w:w="1312"/>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2" w:type="pct"/>
                  <w:vMerge w:val="restart"/>
                  <w:noWrap/>
                  <w:vAlign w:val="center"/>
                </w:tcPr>
                <w:p>
                  <w:pPr>
                    <w:adjustRightInd w:val="0"/>
                    <w:snapToGrid w:val="0"/>
                    <w:jc w:val="center"/>
                    <w:rPr>
                      <w:szCs w:val="21"/>
                    </w:rPr>
                  </w:pPr>
                  <w:r>
                    <w:rPr>
                      <w:szCs w:val="21"/>
                    </w:rPr>
                    <w:t>序号</w:t>
                  </w:r>
                </w:p>
              </w:tc>
              <w:tc>
                <w:tcPr>
                  <w:tcW w:w="1151" w:type="pct"/>
                  <w:vMerge w:val="restart"/>
                  <w:noWrap w:val="0"/>
                  <w:vAlign w:val="center"/>
                </w:tcPr>
                <w:p>
                  <w:pPr>
                    <w:adjustRightInd w:val="0"/>
                    <w:snapToGrid w:val="0"/>
                    <w:jc w:val="center"/>
                    <w:rPr>
                      <w:szCs w:val="21"/>
                    </w:rPr>
                  </w:pPr>
                  <w:r>
                    <w:rPr>
                      <w:szCs w:val="21"/>
                    </w:rPr>
                    <w:t>一级水功能区名称</w:t>
                  </w:r>
                </w:p>
              </w:tc>
              <w:tc>
                <w:tcPr>
                  <w:tcW w:w="1366" w:type="pct"/>
                  <w:vMerge w:val="restart"/>
                  <w:noWrap w:val="0"/>
                  <w:vAlign w:val="center"/>
                </w:tcPr>
                <w:p>
                  <w:pPr>
                    <w:adjustRightInd w:val="0"/>
                    <w:snapToGrid w:val="0"/>
                    <w:jc w:val="center"/>
                    <w:rPr>
                      <w:szCs w:val="21"/>
                    </w:rPr>
                  </w:pPr>
                  <w:r>
                    <w:rPr>
                      <w:szCs w:val="21"/>
                    </w:rPr>
                    <w:t>二级水功能区名称</w:t>
                  </w:r>
                </w:p>
              </w:tc>
              <w:tc>
                <w:tcPr>
                  <w:tcW w:w="1468" w:type="pct"/>
                  <w:gridSpan w:val="2"/>
                  <w:noWrap w:val="0"/>
                  <w:vAlign w:val="center"/>
                </w:tcPr>
                <w:p>
                  <w:pPr>
                    <w:adjustRightInd w:val="0"/>
                    <w:snapToGrid w:val="0"/>
                    <w:jc w:val="center"/>
                    <w:rPr>
                      <w:szCs w:val="21"/>
                    </w:rPr>
                  </w:pPr>
                  <w:r>
                    <w:rPr>
                      <w:szCs w:val="21"/>
                    </w:rPr>
                    <w:t>范    围</w:t>
                  </w:r>
                </w:p>
              </w:tc>
              <w:tc>
                <w:tcPr>
                  <w:tcW w:w="633" w:type="pct"/>
                  <w:vMerge w:val="restart"/>
                  <w:noWrap w:val="0"/>
                  <w:vAlign w:val="center"/>
                </w:tcPr>
                <w:p>
                  <w:pPr>
                    <w:adjustRightInd w:val="0"/>
                    <w:snapToGrid w:val="0"/>
                    <w:jc w:val="center"/>
                    <w:rPr>
                      <w:rFonts w:hint="eastAsia"/>
                      <w:szCs w:val="21"/>
                    </w:rPr>
                  </w:pPr>
                  <w:r>
                    <w:rPr>
                      <w:szCs w:val="21"/>
                    </w:rPr>
                    <w:t>水质</w:t>
                  </w:r>
                </w:p>
                <w:p>
                  <w:pPr>
                    <w:adjustRightInd w:val="0"/>
                    <w:snapToGrid w:val="0"/>
                    <w:jc w:val="center"/>
                    <w:rPr>
                      <w:szCs w:val="21"/>
                    </w:rPr>
                  </w:pPr>
                  <w:r>
                    <w:rPr>
                      <w:szCs w:val="21"/>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82" w:type="pct"/>
                  <w:vMerge w:val="continue"/>
                  <w:noWrap w:val="0"/>
                  <w:vAlign w:val="center"/>
                </w:tcPr>
                <w:p>
                  <w:pPr>
                    <w:adjustRightInd w:val="0"/>
                    <w:snapToGrid w:val="0"/>
                    <w:jc w:val="center"/>
                    <w:rPr>
                      <w:szCs w:val="21"/>
                    </w:rPr>
                  </w:pPr>
                </w:p>
              </w:tc>
              <w:tc>
                <w:tcPr>
                  <w:tcW w:w="1151" w:type="pct"/>
                  <w:vMerge w:val="continue"/>
                  <w:noWrap w:val="0"/>
                  <w:vAlign w:val="center"/>
                </w:tcPr>
                <w:p>
                  <w:pPr>
                    <w:adjustRightInd w:val="0"/>
                    <w:snapToGrid w:val="0"/>
                    <w:jc w:val="center"/>
                    <w:rPr>
                      <w:szCs w:val="21"/>
                    </w:rPr>
                  </w:pPr>
                </w:p>
              </w:tc>
              <w:tc>
                <w:tcPr>
                  <w:tcW w:w="1366" w:type="pct"/>
                  <w:vMerge w:val="continue"/>
                  <w:noWrap w:val="0"/>
                  <w:vAlign w:val="center"/>
                </w:tcPr>
                <w:p>
                  <w:pPr>
                    <w:adjustRightInd w:val="0"/>
                    <w:snapToGrid w:val="0"/>
                    <w:jc w:val="center"/>
                    <w:rPr>
                      <w:szCs w:val="21"/>
                    </w:rPr>
                  </w:pPr>
                </w:p>
              </w:tc>
              <w:tc>
                <w:tcPr>
                  <w:tcW w:w="680" w:type="pct"/>
                  <w:vMerge w:val="restart"/>
                  <w:noWrap w:val="0"/>
                  <w:vAlign w:val="center"/>
                </w:tcPr>
                <w:p>
                  <w:pPr>
                    <w:adjustRightInd w:val="0"/>
                    <w:snapToGrid w:val="0"/>
                    <w:jc w:val="center"/>
                    <w:rPr>
                      <w:szCs w:val="21"/>
                    </w:rPr>
                  </w:pPr>
                  <w:r>
                    <w:rPr>
                      <w:szCs w:val="21"/>
                    </w:rPr>
                    <w:t>起始断面</w:t>
                  </w:r>
                </w:p>
              </w:tc>
              <w:tc>
                <w:tcPr>
                  <w:tcW w:w="788" w:type="pct"/>
                  <w:vMerge w:val="restart"/>
                  <w:noWrap w:val="0"/>
                  <w:vAlign w:val="center"/>
                </w:tcPr>
                <w:p>
                  <w:pPr>
                    <w:adjustRightInd w:val="0"/>
                    <w:snapToGrid w:val="0"/>
                    <w:jc w:val="center"/>
                    <w:rPr>
                      <w:szCs w:val="21"/>
                    </w:rPr>
                  </w:pPr>
                  <w:r>
                    <w:rPr>
                      <w:szCs w:val="21"/>
                    </w:rPr>
                    <w:t>终止断面</w:t>
                  </w:r>
                </w:p>
              </w:tc>
              <w:tc>
                <w:tcPr>
                  <w:tcW w:w="633" w:type="pct"/>
                  <w:vMerge w:val="continue"/>
                  <w:noWrap w:val="0"/>
                  <w:vAlign w:val="center"/>
                </w:tcPr>
                <w:p>
                  <w:pPr>
                    <w:adjustRightInd w:val="0"/>
                    <w:snapToGri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82" w:type="pct"/>
                  <w:vMerge w:val="continue"/>
                  <w:noWrap w:val="0"/>
                  <w:vAlign w:val="center"/>
                </w:tcPr>
                <w:p>
                  <w:pPr>
                    <w:adjustRightInd w:val="0"/>
                    <w:snapToGrid w:val="0"/>
                    <w:jc w:val="center"/>
                    <w:rPr>
                      <w:szCs w:val="21"/>
                    </w:rPr>
                  </w:pPr>
                </w:p>
              </w:tc>
              <w:tc>
                <w:tcPr>
                  <w:tcW w:w="1151" w:type="pct"/>
                  <w:vMerge w:val="continue"/>
                  <w:noWrap w:val="0"/>
                  <w:vAlign w:val="center"/>
                </w:tcPr>
                <w:p>
                  <w:pPr>
                    <w:adjustRightInd w:val="0"/>
                    <w:snapToGrid w:val="0"/>
                    <w:jc w:val="center"/>
                    <w:rPr>
                      <w:szCs w:val="21"/>
                    </w:rPr>
                  </w:pPr>
                </w:p>
              </w:tc>
              <w:tc>
                <w:tcPr>
                  <w:tcW w:w="1366" w:type="pct"/>
                  <w:vMerge w:val="continue"/>
                  <w:noWrap w:val="0"/>
                  <w:vAlign w:val="center"/>
                </w:tcPr>
                <w:p>
                  <w:pPr>
                    <w:adjustRightInd w:val="0"/>
                    <w:snapToGrid w:val="0"/>
                    <w:jc w:val="center"/>
                    <w:rPr>
                      <w:szCs w:val="21"/>
                    </w:rPr>
                  </w:pPr>
                </w:p>
              </w:tc>
              <w:tc>
                <w:tcPr>
                  <w:tcW w:w="680" w:type="pct"/>
                  <w:vMerge w:val="continue"/>
                  <w:noWrap w:val="0"/>
                  <w:vAlign w:val="center"/>
                </w:tcPr>
                <w:p>
                  <w:pPr>
                    <w:adjustRightInd w:val="0"/>
                    <w:snapToGrid w:val="0"/>
                    <w:jc w:val="center"/>
                    <w:rPr>
                      <w:szCs w:val="21"/>
                    </w:rPr>
                  </w:pPr>
                </w:p>
              </w:tc>
              <w:tc>
                <w:tcPr>
                  <w:tcW w:w="788" w:type="pct"/>
                  <w:vMerge w:val="continue"/>
                  <w:noWrap w:val="0"/>
                  <w:vAlign w:val="center"/>
                </w:tcPr>
                <w:p>
                  <w:pPr>
                    <w:adjustRightInd w:val="0"/>
                    <w:snapToGrid w:val="0"/>
                    <w:jc w:val="center"/>
                    <w:rPr>
                      <w:szCs w:val="21"/>
                    </w:rPr>
                  </w:pPr>
                </w:p>
              </w:tc>
              <w:tc>
                <w:tcPr>
                  <w:tcW w:w="633" w:type="pct"/>
                  <w:vMerge w:val="continue"/>
                  <w:noWrap w:val="0"/>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82" w:type="pct"/>
                  <w:noWrap/>
                  <w:vAlign w:val="center"/>
                </w:tcPr>
                <w:p>
                  <w:pPr>
                    <w:adjustRightInd w:val="0"/>
                    <w:snapToGrid w:val="0"/>
                    <w:jc w:val="center"/>
                    <w:rPr>
                      <w:szCs w:val="21"/>
                    </w:rPr>
                  </w:pPr>
                  <w:r>
                    <w:rPr>
                      <w:szCs w:val="21"/>
                    </w:rPr>
                    <w:t>1</w:t>
                  </w:r>
                </w:p>
              </w:tc>
              <w:tc>
                <w:tcPr>
                  <w:tcW w:w="1151" w:type="pct"/>
                  <w:noWrap w:val="0"/>
                  <w:vAlign w:val="center"/>
                </w:tcPr>
                <w:p>
                  <w:pPr>
                    <w:adjustRightInd w:val="0"/>
                    <w:snapToGrid w:val="0"/>
                    <w:jc w:val="center"/>
                    <w:rPr>
                      <w:szCs w:val="21"/>
                    </w:rPr>
                  </w:pPr>
                  <w:r>
                    <w:rPr>
                      <w:rFonts w:hint="eastAsia"/>
                      <w:szCs w:val="21"/>
                    </w:rPr>
                    <w:t>呼兰河绥化市、呼兰区开发利用区</w:t>
                  </w:r>
                </w:p>
              </w:tc>
              <w:tc>
                <w:tcPr>
                  <w:tcW w:w="1366" w:type="pct"/>
                  <w:noWrap w:val="0"/>
                  <w:vAlign w:val="center"/>
                </w:tcPr>
                <w:p>
                  <w:pPr>
                    <w:adjustRightInd w:val="0"/>
                    <w:snapToGrid w:val="0"/>
                    <w:jc w:val="center"/>
                    <w:rPr>
                      <w:szCs w:val="21"/>
                    </w:rPr>
                  </w:pPr>
                  <w:r>
                    <w:rPr>
                      <w:rFonts w:hint="eastAsia"/>
                      <w:szCs w:val="21"/>
                    </w:rPr>
                    <w:t>呼兰河庆安县、绥化市农业、饮用水源区</w:t>
                  </w:r>
                </w:p>
              </w:tc>
              <w:tc>
                <w:tcPr>
                  <w:tcW w:w="680" w:type="pct"/>
                  <w:noWrap w:val="0"/>
                  <w:vAlign w:val="center"/>
                </w:tcPr>
                <w:p>
                  <w:pPr>
                    <w:adjustRightInd w:val="0"/>
                    <w:snapToGrid w:val="0"/>
                    <w:jc w:val="center"/>
                    <w:rPr>
                      <w:szCs w:val="21"/>
                    </w:rPr>
                  </w:pPr>
                  <w:r>
                    <w:rPr>
                      <w:rFonts w:hint="eastAsia"/>
                      <w:szCs w:val="21"/>
                    </w:rPr>
                    <w:t>神树镇</w:t>
                  </w:r>
                </w:p>
              </w:tc>
              <w:tc>
                <w:tcPr>
                  <w:tcW w:w="788" w:type="pct"/>
                  <w:noWrap w:val="0"/>
                  <w:vAlign w:val="center"/>
                </w:tcPr>
                <w:p>
                  <w:pPr>
                    <w:adjustRightInd w:val="0"/>
                    <w:snapToGrid w:val="0"/>
                    <w:jc w:val="center"/>
                    <w:rPr>
                      <w:szCs w:val="21"/>
                    </w:rPr>
                  </w:pPr>
                  <w:r>
                    <w:rPr>
                      <w:rFonts w:hint="eastAsia"/>
                      <w:szCs w:val="21"/>
                    </w:rPr>
                    <w:t>绥胜排干汇入口</w:t>
                  </w:r>
                </w:p>
              </w:tc>
              <w:tc>
                <w:tcPr>
                  <w:tcW w:w="633" w:type="pct"/>
                  <w:noWrap/>
                  <w:vAlign w:val="center"/>
                </w:tcPr>
                <w:p>
                  <w:pPr>
                    <w:adjustRightInd w:val="0"/>
                    <w:snapToGrid w:val="0"/>
                    <w:jc w:val="center"/>
                    <w:rPr>
                      <w:szCs w:val="21"/>
                    </w:rPr>
                  </w:pPr>
                  <w:r>
                    <w:rPr>
                      <w:rFonts w:hint="eastAsia"/>
                      <w:szCs w:val="21"/>
                    </w:rPr>
                    <w:t>Ⅲ～Ⅳ</w:t>
                  </w:r>
                </w:p>
              </w:tc>
            </w:tr>
          </w:tbl>
          <w:p>
            <w:pPr>
              <w:spacing w:line="360" w:lineRule="auto"/>
              <w:ind w:firstLine="540" w:firstLineChars="225"/>
              <w:rPr>
                <w:sz w:val="24"/>
                <w:lang w:bidi="en-US"/>
              </w:rPr>
            </w:pPr>
            <w:r>
              <w:rPr>
                <w:rFonts w:hint="eastAsia"/>
                <w:sz w:val="24"/>
                <w:lang w:bidi="en-US"/>
              </w:rPr>
              <w:t>2）地表水环境质量状况</w:t>
            </w:r>
          </w:p>
          <w:p>
            <w:pPr>
              <w:spacing w:line="360" w:lineRule="auto"/>
              <w:ind w:firstLine="540" w:firstLineChars="225"/>
              <w:rPr>
                <w:sz w:val="24"/>
                <w:lang w:bidi="en-US"/>
              </w:rPr>
            </w:pPr>
            <w:r>
              <w:rPr>
                <w:sz w:val="24"/>
                <w:lang w:bidi="en-US"/>
              </w:rPr>
              <w:t>呼兰河干流国控水质监测断面设置4处，分别是铁力市双河渠首断面、北林区绥望桥断面、兰西县榆林镇鞍山屯断面、呼兰区呼兰河口内断面。</w:t>
            </w:r>
            <w:r>
              <w:rPr>
                <w:rFonts w:hint="eastAsia"/>
                <w:sz w:val="24"/>
                <w:lang w:bidi="en-US"/>
              </w:rPr>
              <w:t>其中本项目位于呼兰河北林区段，涉及的断面为绥望桥断面。</w:t>
            </w:r>
            <w:r>
              <w:rPr>
                <w:sz w:val="24"/>
                <w:lang w:bidi="en-US"/>
              </w:rPr>
              <w:t>2022年，呼兰河干流国控监测断面及达标情况详见表</w:t>
            </w:r>
            <w:r>
              <w:rPr>
                <w:rFonts w:hint="eastAsia"/>
                <w:sz w:val="24"/>
                <w:lang w:bidi="en-US"/>
              </w:rPr>
              <w:t>3.1</w:t>
            </w:r>
            <w:r>
              <w:rPr>
                <w:sz w:val="24"/>
                <w:lang w:bidi="en-US"/>
              </w:rPr>
              <w:t>-</w:t>
            </w:r>
            <w:r>
              <w:rPr>
                <w:rFonts w:hint="eastAsia"/>
                <w:sz w:val="24"/>
                <w:lang w:bidi="en-US"/>
              </w:rPr>
              <w:t>2</w:t>
            </w:r>
            <w:r>
              <w:rPr>
                <w:sz w:val="24"/>
                <w:lang w:bidi="en-US"/>
              </w:rPr>
              <w:t>。</w:t>
            </w:r>
          </w:p>
          <w:p>
            <w:pPr>
              <w:spacing w:line="276" w:lineRule="auto"/>
              <w:ind w:firstLine="482"/>
              <w:jc w:val="center"/>
              <w:rPr>
                <w:b/>
                <w:bCs/>
                <w:sz w:val="24"/>
              </w:rPr>
            </w:pPr>
            <w:r>
              <w:rPr>
                <w:b/>
                <w:bCs/>
                <w:sz w:val="24"/>
              </w:rPr>
              <w:t>表</w:t>
            </w:r>
            <w:r>
              <w:rPr>
                <w:rFonts w:hint="eastAsia"/>
                <w:b/>
                <w:bCs/>
                <w:sz w:val="24"/>
              </w:rPr>
              <w:t>3.1</w:t>
            </w:r>
            <w:r>
              <w:rPr>
                <w:b/>
                <w:bCs/>
                <w:sz w:val="24"/>
              </w:rPr>
              <w:t>-</w:t>
            </w:r>
            <w:r>
              <w:rPr>
                <w:rFonts w:hint="eastAsia"/>
                <w:b/>
                <w:bCs/>
                <w:sz w:val="24"/>
              </w:rPr>
              <w:t>2 呼兰河干流国控监测断面及达标情况</w:t>
            </w:r>
          </w:p>
          <w:tbl>
            <w:tblPr>
              <w:tblStyle w:val="1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86"/>
              <w:gridCol w:w="2499"/>
              <w:gridCol w:w="1568"/>
              <w:gridCol w:w="1384"/>
              <w:gridCol w:w="1196"/>
              <w:gridCol w:w="11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563" w:type="pct"/>
                  <w:noWrap w:val="0"/>
                  <w:vAlign w:val="center"/>
                </w:tcPr>
                <w:p>
                  <w:pPr>
                    <w:adjustRightInd w:val="0"/>
                    <w:snapToGrid w:val="0"/>
                    <w:jc w:val="center"/>
                    <w:rPr>
                      <w:szCs w:val="21"/>
                    </w:rPr>
                  </w:pPr>
                  <w:r>
                    <w:rPr>
                      <w:szCs w:val="21"/>
                    </w:rPr>
                    <w:t>水体</w:t>
                  </w:r>
                </w:p>
                <w:p>
                  <w:pPr>
                    <w:adjustRightInd w:val="0"/>
                    <w:snapToGrid w:val="0"/>
                    <w:jc w:val="center"/>
                    <w:rPr>
                      <w:szCs w:val="21"/>
                    </w:rPr>
                  </w:pPr>
                  <w:r>
                    <w:rPr>
                      <w:szCs w:val="21"/>
                    </w:rPr>
                    <w:t>名称</w:t>
                  </w:r>
                </w:p>
              </w:tc>
              <w:tc>
                <w:tcPr>
                  <w:tcW w:w="1425" w:type="pct"/>
                  <w:noWrap w:val="0"/>
                  <w:vAlign w:val="center"/>
                </w:tcPr>
                <w:p>
                  <w:pPr>
                    <w:adjustRightInd w:val="0"/>
                    <w:snapToGrid w:val="0"/>
                    <w:jc w:val="center"/>
                    <w:rPr>
                      <w:szCs w:val="21"/>
                    </w:rPr>
                  </w:pPr>
                  <w:r>
                    <w:rPr>
                      <w:szCs w:val="21"/>
                    </w:rPr>
                    <w:t>断面名称</w:t>
                  </w:r>
                </w:p>
              </w:tc>
              <w:tc>
                <w:tcPr>
                  <w:tcW w:w="894" w:type="pct"/>
                  <w:noWrap w:val="0"/>
                  <w:vAlign w:val="center"/>
                </w:tcPr>
                <w:p>
                  <w:pPr>
                    <w:adjustRightInd w:val="0"/>
                    <w:snapToGrid w:val="0"/>
                    <w:jc w:val="center"/>
                    <w:rPr>
                      <w:szCs w:val="21"/>
                    </w:rPr>
                  </w:pPr>
                  <w:r>
                    <w:rPr>
                      <w:szCs w:val="21"/>
                    </w:rPr>
                    <w:t>2022 年水质目标</w:t>
                  </w:r>
                </w:p>
              </w:tc>
              <w:tc>
                <w:tcPr>
                  <w:tcW w:w="789" w:type="pct"/>
                  <w:noWrap w:val="0"/>
                  <w:vAlign w:val="center"/>
                </w:tcPr>
                <w:p>
                  <w:pPr>
                    <w:adjustRightInd w:val="0"/>
                    <w:snapToGrid w:val="0"/>
                    <w:jc w:val="center"/>
                    <w:rPr>
                      <w:szCs w:val="21"/>
                    </w:rPr>
                  </w:pPr>
                  <w:r>
                    <w:rPr>
                      <w:szCs w:val="21"/>
                    </w:rPr>
                    <w:t>2022年水质</w:t>
                  </w:r>
                </w:p>
                <w:p>
                  <w:pPr>
                    <w:adjustRightInd w:val="0"/>
                    <w:snapToGrid w:val="0"/>
                    <w:jc w:val="center"/>
                    <w:rPr>
                      <w:szCs w:val="21"/>
                    </w:rPr>
                  </w:pPr>
                  <w:r>
                    <w:rPr>
                      <w:szCs w:val="21"/>
                    </w:rPr>
                    <w:t>类别</w:t>
                  </w:r>
                </w:p>
              </w:tc>
              <w:tc>
                <w:tcPr>
                  <w:tcW w:w="682" w:type="pct"/>
                  <w:noWrap w:val="0"/>
                  <w:vAlign w:val="center"/>
                </w:tcPr>
                <w:p>
                  <w:pPr>
                    <w:adjustRightInd w:val="0"/>
                    <w:snapToGrid w:val="0"/>
                    <w:jc w:val="center"/>
                    <w:rPr>
                      <w:szCs w:val="21"/>
                    </w:rPr>
                  </w:pPr>
                  <w:r>
                    <w:rPr>
                      <w:szCs w:val="21"/>
                    </w:rPr>
                    <w:t>达标情况</w:t>
                  </w:r>
                </w:p>
              </w:tc>
              <w:tc>
                <w:tcPr>
                  <w:tcW w:w="647" w:type="pct"/>
                  <w:noWrap w:val="0"/>
                  <w:vAlign w:val="center"/>
                </w:tcPr>
                <w:p>
                  <w:pPr>
                    <w:adjustRightInd w:val="0"/>
                    <w:snapToGrid w:val="0"/>
                    <w:jc w:val="center"/>
                    <w:rPr>
                      <w:szCs w:val="21"/>
                    </w:rPr>
                  </w:pPr>
                  <w:r>
                    <w:rPr>
                      <w:szCs w:val="21"/>
                    </w:rPr>
                    <w:t>超标项目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3" w:type="pct"/>
                  <w:vMerge w:val="restart"/>
                  <w:noWrap w:val="0"/>
                  <w:vAlign w:val="center"/>
                </w:tcPr>
                <w:p>
                  <w:pPr>
                    <w:adjustRightInd w:val="0"/>
                    <w:snapToGrid w:val="0"/>
                    <w:jc w:val="center"/>
                    <w:rPr>
                      <w:szCs w:val="21"/>
                    </w:rPr>
                  </w:pPr>
                  <w:r>
                    <w:rPr>
                      <w:szCs w:val="21"/>
                    </w:rPr>
                    <w:t>呼兰河</w:t>
                  </w:r>
                </w:p>
              </w:tc>
              <w:tc>
                <w:tcPr>
                  <w:tcW w:w="1425" w:type="pct"/>
                  <w:noWrap w:val="0"/>
                  <w:vAlign w:val="center"/>
                </w:tcPr>
                <w:p>
                  <w:pPr>
                    <w:adjustRightInd w:val="0"/>
                    <w:snapToGrid w:val="0"/>
                    <w:jc w:val="center"/>
                    <w:rPr>
                      <w:szCs w:val="21"/>
                    </w:rPr>
                  </w:pPr>
                  <w:r>
                    <w:rPr>
                      <w:szCs w:val="21"/>
                    </w:rPr>
                    <w:t>双河渠首</w:t>
                  </w:r>
                </w:p>
              </w:tc>
              <w:tc>
                <w:tcPr>
                  <w:tcW w:w="894" w:type="pct"/>
                  <w:noWrap w:val="0"/>
                  <w:vAlign w:val="center"/>
                </w:tcPr>
                <w:p>
                  <w:pPr>
                    <w:adjustRightInd w:val="0"/>
                    <w:snapToGrid w:val="0"/>
                    <w:jc w:val="center"/>
                    <w:rPr>
                      <w:szCs w:val="21"/>
                    </w:rPr>
                  </w:pPr>
                  <w:r>
                    <w:rPr>
                      <w:rFonts w:hint="eastAsia"/>
                      <w:szCs w:val="21"/>
                    </w:rPr>
                    <w:t>Ⅲ</w:t>
                  </w:r>
                </w:p>
              </w:tc>
              <w:tc>
                <w:tcPr>
                  <w:tcW w:w="789" w:type="pct"/>
                  <w:noWrap w:val="0"/>
                  <w:vAlign w:val="center"/>
                </w:tcPr>
                <w:p>
                  <w:pPr>
                    <w:adjustRightInd w:val="0"/>
                    <w:snapToGrid w:val="0"/>
                    <w:jc w:val="center"/>
                    <w:rPr>
                      <w:szCs w:val="21"/>
                    </w:rPr>
                  </w:pPr>
                  <w:r>
                    <w:rPr>
                      <w:rFonts w:hint="eastAsia"/>
                      <w:szCs w:val="21"/>
                    </w:rPr>
                    <w:t>Ⅲ</w:t>
                  </w:r>
                </w:p>
              </w:tc>
              <w:tc>
                <w:tcPr>
                  <w:tcW w:w="682" w:type="pct"/>
                  <w:noWrap w:val="0"/>
                  <w:vAlign w:val="center"/>
                </w:tcPr>
                <w:p>
                  <w:pPr>
                    <w:adjustRightInd w:val="0"/>
                    <w:snapToGrid w:val="0"/>
                    <w:jc w:val="center"/>
                    <w:rPr>
                      <w:szCs w:val="21"/>
                    </w:rPr>
                  </w:pPr>
                  <w:r>
                    <w:rPr>
                      <w:szCs w:val="21"/>
                    </w:rPr>
                    <w:t>达标</w:t>
                  </w:r>
                </w:p>
              </w:tc>
              <w:tc>
                <w:tcPr>
                  <w:tcW w:w="647" w:type="pct"/>
                  <w:noWrap w:val="0"/>
                  <w:vAlign w:val="center"/>
                </w:tcPr>
                <w:p>
                  <w:pPr>
                    <w:adjustRightInd w:val="0"/>
                    <w:snapToGrid w:val="0"/>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3" w:type="pct"/>
                  <w:vMerge w:val="continue"/>
                  <w:tcBorders>
                    <w:top w:val="nil"/>
                  </w:tcBorders>
                  <w:noWrap w:val="0"/>
                  <w:vAlign w:val="center"/>
                </w:tcPr>
                <w:p>
                  <w:pPr>
                    <w:adjustRightInd w:val="0"/>
                    <w:snapToGrid w:val="0"/>
                    <w:jc w:val="center"/>
                    <w:rPr>
                      <w:szCs w:val="21"/>
                    </w:rPr>
                  </w:pPr>
                </w:p>
              </w:tc>
              <w:tc>
                <w:tcPr>
                  <w:tcW w:w="1425" w:type="pct"/>
                  <w:noWrap w:val="0"/>
                  <w:vAlign w:val="center"/>
                </w:tcPr>
                <w:p>
                  <w:pPr>
                    <w:adjustRightInd w:val="0"/>
                    <w:snapToGrid w:val="0"/>
                    <w:jc w:val="center"/>
                    <w:rPr>
                      <w:szCs w:val="21"/>
                    </w:rPr>
                  </w:pPr>
                  <w:r>
                    <w:rPr>
                      <w:szCs w:val="21"/>
                    </w:rPr>
                    <w:t>北林区绥望桥</w:t>
                  </w:r>
                </w:p>
              </w:tc>
              <w:tc>
                <w:tcPr>
                  <w:tcW w:w="894" w:type="pct"/>
                  <w:noWrap w:val="0"/>
                  <w:vAlign w:val="center"/>
                </w:tcPr>
                <w:p>
                  <w:pPr>
                    <w:adjustRightInd w:val="0"/>
                    <w:snapToGrid w:val="0"/>
                    <w:jc w:val="center"/>
                    <w:rPr>
                      <w:szCs w:val="21"/>
                    </w:rPr>
                  </w:pPr>
                  <w:r>
                    <w:rPr>
                      <w:rFonts w:hint="eastAsia"/>
                      <w:szCs w:val="21"/>
                    </w:rPr>
                    <w:t>Ⅲ</w:t>
                  </w:r>
                </w:p>
              </w:tc>
              <w:tc>
                <w:tcPr>
                  <w:tcW w:w="789" w:type="pct"/>
                  <w:noWrap w:val="0"/>
                  <w:vAlign w:val="center"/>
                </w:tcPr>
                <w:p>
                  <w:pPr>
                    <w:adjustRightInd w:val="0"/>
                    <w:snapToGrid w:val="0"/>
                    <w:jc w:val="center"/>
                    <w:rPr>
                      <w:szCs w:val="21"/>
                    </w:rPr>
                  </w:pPr>
                  <w:r>
                    <w:rPr>
                      <w:rFonts w:hint="eastAsia"/>
                      <w:szCs w:val="21"/>
                    </w:rPr>
                    <w:t>Ⅲ</w:t>
                  </w:r>
                </w:p>
              </w:tc>
              <w:tc>
                <w:tcPr>
                  <w:tcW w:w="682" w:type="pct"/>
                  <w:noWrap w:val="0"/>
                  <w:vAlign w:val="center"/>
                </w:tcPr>
                <w:p>
                  <w:pPr>
                    <w:adjustRightInd w:val="0"/>
                    <w:snapToGrid w:val="0"/>
                    <w:jc w:val="center"/>
                    <w:rPr>
                      <w:szCs w:val="21"/>
                    </w:rPr>
                  </w:pPr>
                  <w:r>
                    <w:rPr>
                      <w:szCs w:val="21"/>
                    </w:rPr>
                    <w:t>达标</w:t>
                  </w:r>
                </w:p>
              </w:tc>
              <w:tc>
                <w:tcPr>
                  <w:tcW w:w="647" w:type="pct"/>
                  <w:noWrap w:val="0"/>
                  <w:vAlign w:val="center"/>
                </w:tcPr>
                <w:p>
                  <w:pPr>
                    <w:adjustRightInd w:val="0"/>
                    <w:snapToGrid w:val="0"/>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3" w:type="pct"/>
                  <w:vMerge w:val="continue"/>
                  <w:tcBorders>
                    <w:top w:val="nil"/>
                  </w:tcBorders>
                  <w:noWrap w:val="0"/>
                  <w:vAlign w:val="center"/>
                </w:tcPr>
                <w:p>
                  <w:pPr>
                    <w:adjustRightInd w:val="0"/>
                    <w:snapToGrid w:val="0"/>
                    <w:jc w:val="center"/>
                    <w:rPr>
                      <w:szCs w:val="21"/>
                    </w:rPr>
                  </w:pPr>
                </w:p>
              </w:tc>
              <w:tc>
                <w:tcPr>
                  <w:tcW w:w="1425" w:type="pct"/>
                  <w:noWrap w:val="0"/>
                  <w:vAlign w:val="center"/>
                </w:tcPr>
                <w:p>
                  <w:pPr>
                    <w:adjustRightInd w:val="0"/>
                    <w:snapToGrid w:val="0"/>
                    <w:jc w:val="center"/>
                    <w:rPr>
                      <w:szCs w:val="21"/>
                    </w:rPr>
                  </w:pPr>
                  <w:r>
                    <w:rPr>
                      <w:szCs w:val="21"/>
                    </w:rPr>
                    <w:t>兰西县榆林镇鞍</w:t>
                  </w:r>
                  <w:r>
                    <w:rPr>
                      <w:szCs w:val="21"/>
                    </w:rPr>
                    <w:cr/>
                  </w:r>
                  <w:r>
                    <w:rPr>
                      <w:szCs w:val="21"/>
                    </w:rPr>
                    <w:t>屯</w:t>
                  </w:r>
                </w:p>
              </w:tc>
              <w:tc>
                <w:tcPr>
                  <w:tcW w:w="894" w:type="pct"/>
                  <w:noWrap w:val="0"/>
                  <w:vAlign w:val="center"/>
                </w:tcPr>
                <w:p>
                  <w:pPr>
                    <w:adjustRightInd w:val="0"/>
                    <w:snapToGrid w:val="0"/>
                    <w:jc w:val="center"/>
                    <w:rPr>
                      <w:szCs w:val="21"/>
                    </w:rPr>
                  </w:pPr>
                  <w:r>
                    <w:rPr>
                      <w:rFonts w:hint="eastAsia"/>
                      <w:szCs w:val="21"/>
                    </w:rPr>
                    <w:t>Ⅲ</w:t>
                  </w:r>
                </w:p>
              </w:tc>
              <w:tc>
                <w:tcPr>
                  <w:tcW w:w="789" w:type="pct"/>
                  <w:noWrap w:val="0"/>
                  <w:vAlign w:val="center"/>
                </w:tcPr>
                <w:p>
                  <w:pPr>
                    <w:adjustRightInd w:val="0"/>
                    <w:snapToGrid w:val="0"/>
                    <w:jc w:val="center"/>
                    <w:rPr>
                      <w:szCs w:val="21"/>
                    </w:rPr>
                  </w:pPr>
                  <w:r>
                    <w:rPr>
                      <w:rFonts w:hint="eastAsia"/>
                      <w:szCs w:val="21"/>
                    </w:rPr>
                    <w:t>Ⅲ</w:t>
                  </w:r>
                </w:p>
              </w:tc>
              <w:tc>
                <w:tcPr>
                  <w:tcW w:w="682" w:type="pct"/>
                  <w:noWrap w:val="0"/>
                  <w:vAlign w:val="center"/>
                </w:tcPr>
                <w:p>
                  <w:pPr>
                    <w:adjustRightInd w:val="0"/>
                    <w:snapToGrid w:val="0"/>
                    <w:jc w:val="center"/>
                    <w:rPr>
                      <w:szCs w:val="21"/>
                    </w:rPr>
                  </w:pPr>
                  <w:r>
                    <w:rPr>
                      <w:szCs w:val="21"/>
                    </w:rPr>
                    <w:t>达标</w:t>
                  </w:r>
                </w:p>
              </w:tc>
              <w:tc>
                <w:tcPr>
                  <w:tcW w:w="647" w:type="pct"/>
                  <w:noWrap w:val="0"/>
                  <w:vAlign w:val="center"/>
                </w:tcPr>
                <w:p>
                  <w:pPr>
                    <w:adjustRightInd w:val="0"/>
                    <w:snapToGrid w:val="0"/>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3" w:type="pct"/>
                  <w:vMerge w:val="continue"/>
                  <w:tcBorders>
                    <w:top w:val="nil"/>
                  </w:tcBorders>
                  <w:noWrap w:val="0"/>
                  <w:vAlign w:val="center"/>
                </w:tcPr>
                <w:p>
                  <w:pPr>
                    <w:adjustRightInd w:val="0"/>
                    <w:snapToGrid w:val="0"/>
                    <w:jc w:val="center"/>
                    <w:rPr>
                      <w:szCs w:val="21"/>
                    </w:rPr>
                  </w:pPr>
                </w:p>
              </w:tc>
              <w:tc>
                <w:tcPr>
                  <w:tcW w:w="1425" w:type="pct"/>
                  <w:noWrap w:val="0"/>
                  <w:vAlign w:val="center"/>
                </w:tcPr>
                <w:p>
                  <w:pPr>
                    <w:adjustRightInd w:val="0"/>
                    <w:snapToGrid w:val="0"/>
                    <w:jc w:val="center"/>
                    <w:rPr>
                      <w:szCs w:val="21"/>
                    </w:rPr>
                  </w:pPr>
                  <w:r>
                    <w:rPr>
                      <w:szCs w:val="21"/>
                    </w:rPr>
                    <w:t>呼兰区呼兰河口内</w:t>
                  </w:r>
                </w:p>
              </w:tc>
              <w:tc>
                <w:tcPr>
                  <w:tcW w:w="894" w:type="pct"/>
                  <w:noWrap w:val="0"/>
                  <w:vAlign w:val="center"/>
                </w:tcPr>
                <w:p>
                  <w:pPr>
                    <w:adjustRightInd w:val="0"/>
                    <w:snapToGrid w:val="0"/>
                    <w:jc w:val="center"/>
                    <w:rPr>
                      <w:szCs w:val="21"/>
                    </w:rPr>
                  </w:pPr>
                  <w:r>
                    <w:rPr>
                      <w:rFonts w:hint="eastAsia"/>
                      <w:szCs w:val="21"/>
                    </w:rPr>
                    <w:t>Ⅳ</w:t>
                  </w:r>
                </w:p>
              </w:tc>
              <w:tc>
                <w:tcPr>
                  <w:tcW w:w="789" w:type="pct"/>
                  <w:noWrap w:val="0"/>
                  <w:vAlign w:val="center"/>
                </w:tcPr>
                <w:p>
                  <w:pPr>
                    <w:adjustRightInd w:val="0"/>
                    <w:snapToGrid w:val="0"/>
                    <w:jc w:val="center"/>
                    <w:rPr>
                      <w:szCs w:val="21"/>
                    </w:rPr>
                  </w:pPr>
                  <w:r>
                    <w:rPr>
                      <w:rFonts w:hint="eastAsia"/>
                      <w:szCs w:val="21"/>
                    </w:rPr>
                    <w:t>Ⅲ</w:t>
                  </w:r>
                </w:p>
              </w:tc>
              <w:tc>
                <w:tcPr>
                  <w:tcW w:w="682" w:type="pct"/>
                  <w:noWrap w:val="0"/>
                  <w:vAlign w:val="center"/>
                </w:tcPr>
                <w:p>
                  <w:pPr>
                    <w:adjustRightInd w:val="0"/>
                    <w:snapToGrid w:val="0"/>
                    <w:jc w:val="center"/>
                    <w:rPr>
                      <w:szCs w:val="21"/>
                    </w:rPr>
                  </w:pPr>
                  <w:r>
                    <w:rPr>
                      <w:szCs w:val="21"/>
                    </w:rPr>
                    <w:t>达标</w:t>
                  </w:r>
                </w:p>
              </w:tc>
              <w:tc>
                <w:tcPr>
                  <w:tcW w:w="647" w:type="pct"/>
                  <w:noWrap w:val="0"/>
                  <w:vAlign w:val="center"/>
                </w:tcPr>
                <w:p>
                  <w:pPr>
                    <w:adjustRightInd w:val="0"/>
                    <w:snapToGrid w:val="0"/>
                    <w:jc w:val="center"/>
                    <w:rPr>
                      <w:szCs w:val="21"/>
                    </w:rPr>
                  </w:pPr>
                </w:p>
              </w:tc>
            </w:tr>
          </w:tbl>
          <w:p>
            <w:pPr>
              <w:spacing w:line="360" w:lineRule="auto"/>
              <w:ind w:firstLine="480" w:firstLineChars="200"/>
              <w:rPr>
                <w:sz w:val="24"/>
                <w:lang w:bidi="en-US"/>
              </w:rPr>
            </w:pPr>
            <w:r>
              <w:rPr>
                <w:sz w:val="24"/>
                <w:lang w:bidi="en-US"/>
              </w:rPr>
              <w:t>2022年，呼兰河水质优良（达到或者优于</w:t>
            </w:r>
            <w:r>
              <w:rPr>
                <w:rFonts w:hint="eastAsia"/>
                <w:sz w:val="24"/>
                <w:lang w:bidi="en-US"/>
              </w:rPr>
              <w:t>Ⅲ</w:t>
            </w:r>
            <w:r>
              <w:rPr>
                <w:sz w:val="24"/>
                <w:lang w:bidi="en-US"/>
              </w:rPr>
              <w:t>类）比例为100%，总体来看，呼兰河上游段水环境质量较好。</w:t>
            </w:r>
          </w:p>
          <w:p>
            <w:pPr>
              <w:widowControl/>
              <w:spacing w:line="360" w:lineRule="auto"/>
              <w:ind w:firstLine="480" w:firstLineChars="200"/>
              <w:jc w:val="left"/>
              <w:rPr>
                <w:rFonts w:hint="eastAsia"/>
                <w:sz w:val="24"/>
              </w:rPr>
            </w:pPr>
          </w:p>
          <w:p>
            <w:pPr>
              <w:widowControl/>
              <w:spacing w:line="360" w:lineRule="auto"/>
              <w:ind w:firstLine="480" w:firstLineChars="200"/>
              <w:jc w:val="left"/>
              <w:rPr>
                <w:sz w:val="24"/>
              </w:rPr>
            </w:pPr>
            <w:r>
              <w:rPr>
                <w:rFonts w:hint="eastAsia"/>
                <w:sz w:val="24"/>
              </w:rPr>
              <w:t>（2）大气环境质量现状</w:t>
            </w:r>
          </w:p>
          <w:p>
            <w:pPr>
              <w:widowControl/>
              <w:spacing w:line="360" w:lineRule="auto"/>
              <w:ind w:firstLine="480" w:firstLineChars="200"/>
              <w:jc w:val="left"/>
              <w:rPr>
                <w:sz w:val="24"/>
              </w:rPr>
            </w:pPr>
            <w:r>
              <w:rPr>
                <w:sz w:val="24"/>
              </w:rPr>
              <w:t>根据</w:t>
            </w:r>
            <w:r>
              <w:rPr>
                <w:rFonts w:hint="eastAsia"/>
                <w:sz w:val="24"/>
              </w:rPr>
              <w:t>绥化市生态环境监测中心公布的《</w:t>
            </w:r>
            <w:r>
              <w:rPr>
                <w:sz w:val="24"/>
              </w:rPr>
              <w:t>2022年</w:t>
            </w:r>
            <w:r>
              <w:rPr>
                <w:rFonts w:hint="eastAsia"/>
                <w:sz w:val="24"/>
              </w:rPr>
              <w:t>绥化市</w:t>
            </w:r>
            <w:r>
              <w:rPr>
                <w:sz w:val="24"/>
              </w:rPr>
              <w:t>环境质量状况公报</w:t>
            </w:r>
            <w:r>
              <w:rPr>
                <w:rFonts w:hint="eastAsia"/>
                <w:sz w:val="24"/>
              </w:rPr>
              <w:t>》</w:t>
            </w:r>
            <w:r>
              <w:rPr>
                <w:sz w:val="24"/>
              </w:rPr>
              <w:t>，2022年绥化市空气质量级别劣于二级，空气质量综合指数为3.26</w:t>
            </w:r>
            <w:r>
              <w:rPr>
                <w:rFonts w:hint="eastAsia"/>
                <w:sz w:val="24"/>
              </w:rPr>
              <w:t>，同比升高</w:t>
            </w:r>
            <w:r>
              <w:rPr>
                <w:sz w:val="24"/>
              </w:rPr>
              <w:t>2.5%</w:t>
            </w:r>
            <w:r>
              <w:rPr>
                <w:rFonts w:hint="eastAsia"/>
                <w:sz w:val="24"/>
              </w:rPr>
              <w:t>，</w:t>
            </w:r>
            <w:r>
              <w:rPr>
                <w:sz w:val="24"/>
              </w:rPr>
              <w:t>PM</w:t>
            </w:r>
            <w:r>
              <w:rPr>
                <w:sz w:val="24"/>
                <w:vertAlign w:val="subscript"/>
              </w:rPr>
              <w:t>10</w:t>
            </w:r>
            <w:r>
              <w:rPr>
                <w:rFonts w:hint="eastAsia"/>
                <w:sz w:val="24"/>
              </w:rPr>
              <w:t>年均浓度为</w:t>
            </w:r>
            <w:r>
              <w:rPr>
                <w:sz w:val="24"/>
              </w:rPr>
              <w:t>49μg/m</w:t>
            </w:r>
            <w:r>
              <w:rPr>
                <w:sz w:val="24"/>
                <w:vertAlign w:val="superscript"/>
              </w:rPr>
              <w:t>3</w:t>
            </w:r>
            <w:r>
              <w:rPr>
                <w:rFonts w:hint="eastAsia"/>
                <w:sz w:val="24"/>
              </w:rPr>
              <w:t>，</w:t>
            </w:r>
            <w:r>
              <w:rPr>
                <w:sz w:val="24"/>
              </w:rPr>
              <w:t>SO</w:t>
            </w:r>
            <w:r>
              <w:rPr>
                <w:sz w:val="24"/>
                <w:vertAlign w:val="subscript"/>
              </w:rPr>
              <w:t>2</w:t>
            </w:r>
            <w:r>
              <w:rPr>
                <w:rFonts w:hint="eastAsia"/>
                <w:sz w:val="24"/>
              </w:rPr>
              <w:t>年均浓度为</w:t>
            </w:r>
            <w:r>
              <w:rPr>
                <w:sz w:val="24"/>
              </w:rPr>
              <w:t>7μg/m</w:t>
            </w:r>
            <w:r>
              <w:rPr>
                <w:sz w:val="24"/>
                <w:vertAlign w:val="superscript"/>
              </w:rPr>
              <w:t>3</w:t>
            </w:r>
            <w:r>
              <w:rPr>
                <w:rFonts w:hint="eastAsia"/>
                <w:sz w:val="24"/>
              </w:rPr>
              <w:t>，</w:t>
            </w:r>
            <w:r>
              <w:rPr>
                <w:sz w:val="24"/>
              </w:rPr>
              <w:t>NO</w:t>
            </w:r>
            <w:r>
              <w:rPr>
                <w:sz w:val="24"/>
                <w:vertAlign w:val="subscript"/>
              </w:rPr>
              <w:t>2</w:t>
            </w:r>
            <w:r>
              <w:rPr>
                <w:rFonts w:hint="eastAsia"/>
                <w:sz w:val="24"/>
              </w:rPr>
              <w:t>年均浓度为</w:t>
            </w:r>
            <w:r>
              <w:rPr>
                <w:sz w:val="24"/>
              </w:rPr>
              <w:t>16μg/m</w:t>
            </w:r>
            <w:r>
              <w:rPr>
                <w:sz w:val="24"/>
                <w:vertAlign w:val="superscript"/>
              </w:rPr>
              <w:t>3</w:t>
            </w:r>
            <w:r>
              <w:rPr>
                <w:rFonts w:hint="eastAsia"/>
                <w:sz w:val="24"/>
              </w:rPr>
              <w:t>，</w:t>
            </w:r>
            <w:r>
              <w:rPr>
                <w:sz w:val="24"/>
              </w:rPr>
              <w:t>PM</w:t>
            </w:r>
            <w:r>
              <w:rPr>
                <w:sz w:val="24"/>
                <w:vertAlign w:val="subscript"/>
              </w:rPr>
              <w:t>2.5</w:t>
            </w:r>
            <w:r>
              <w:rPr>
                <w:rFonts w:hint="eastAsia"/>
                <w:sz w:val="24"/>
              </w:rPr>
              <w:t>年均浓度为</w:t>
            </w:r>
            <w:r>
              <w:rPr>
                <w:sz w:val="24"/>
              </w:rPr>
              <w:t>36μg/m</w:t>
            </w:r>
            <w:r>
              <w:rPr>
                <w:sz w:val="24"/>
                <w:vertAlign w:val="superscript"/>
              </w:rPr>
              <w:t>3</w:t>
            </w:r>
            <w:r>
              <w:rPr>
                <w:rFonts w:hint="eastAsia"/>
                <w:sz w:val="24"/>
              </w:rPr>
              <w:t>，一氧化碳</w:t>
            </w:r>
            <w:r>
              <w:rPr>
                <w:sz w:val="24"/>
              </w:rPr>
              <w:t>24</w:t>
            </w:r>
            <w:r>
              <w:rPr>
                <w:rFonts w:hint="eastAsia"/>
                <w:sz w:val="24"/>
              </w:rPr>
              <w:t>小时平均第</w:t>
            </w:r>
            <w:r>
              <w:rPr>
                <w:sz w:val="24"/>
              </w:rPr>
              <w:t>95</w:t>
            </w:r>
            <w:r>
              <w:rPr>
                <w:rFonts w:hint="eastAsia"/>
                <w:sz w:val="24"/>
              </w:rPr>
              <w:t>百分位数浓度为</w:t>
            </w:r>
            <w:r>
              <w:rPr>
                <w:sz w:val="24"/>
              </w:rPr>
              <w:t>1.2mg/m</w:t>
            </w:r>
            <w:r>
              <w:rPr>
                <w:sz w:val="24"/>
                <w:vertAlign w:val="superscript"/>
              </w:rPr>
              <w:t>3</w:t>
            </w:r>
            <w:r>
              <w:rPr>
                <w:rFonts w:hint="eastAsia"/>
                <w:sz w:val="24"/>
              </w:rPr>
              <w:t>，</w:t>
            </w:r>
            <w:r>
              <w:rPr>
                <w:sz w:val="24"/>
              </w:rPr>
              <w:t>O</w:t>
            </w:r>
            <w:r>
              <w:rPr>
                <w:sz w:val="24"/>
                <w:vertAlign w:val="subscript"/>
              </w:rPr>
              <w:t>3</w:t>
            </w:r>
            <w:r>
              <w:rPr>
                <w:rFonts w:hint="eastAsia"/>
                <w:sz w:val="24"/>
              </w:rPr>
              <w:t>日最大</w:t>
            </w:r>
            <w:r>
              <w:rPr>
                <w:sz w:val="24"/>
              </w:rPr>
              <w:t>8</w:t>
            </w:r>
            <w:r>
              <w:rPr>
                <w:rFonts w:hint="eastAsia"/>
                <w:sz w:val="24"/>
              </w:rPr>
              <w:t>小时平均第</w:t>
            </w:r>
            <w:r>
              <w:rPr>
                <w:sz w:val="24"/>
              </w:rPr>
              <w:t>90</w:t>
            </w:r>
            <w:r>
              <w:rPr>
                <w:rFonts w:hint="eastAsia"/>
                <w:sz w:val="24"/>
              </w:rPr>
              <w:t>百分位数浓度为</w:t>
            </w:r>
            <w:r>
              <w:rPr>
                <w:sz w:val="24"/>
              </w:rPr>
              <w:t>113μg/m</w:t>
            </w:r>
            <w:r>
              <w:rPr>
                <w:sz w:val="24"/>
                <w:vertAlign w:val="superscript"/>
              </w:rPr>
              <w:t>3</w:t>
            </w:r>
            <w:r>
              <w:rPr>
                <w:rFonts w:hint="eastAsia"/>
                <w:sz w:val="24"/>
              </w:rPr>
              <w:t>。有效监测天数为</w:t>
            </w:r>
            <w:r>
              <w:rPr>
                <w:sz w:val="24"/>
              </w:rPr>
              <w:t>363</w:t>
            </w:r>
            <w:r>
              <w:rPr>
                <w:rFonts w:hint="eastAsia"/>
                <w:sz w:val="24"/>
              </w:rPr>
              <w:t>天，达标天数为</w:t>
            </w:r>
            <w:r>
              <w:rPr>
                <w:sz w:val="24"/>
              </w:rPr>
              <w:t>316</w:t>
            </w:r>
            <w:r>
              <w:rPr>
                <w:rFonts w:hint="eastAsia"/>
                <w:sz w:val="24"/>
              </w:rPr>
              <w:t>天，达标率为</w:t>
            </w:r>
            <w:r>
              <w:rPr>
                <w:sz w:val="24"/>
              </w:rPr>
              <w:t>87.1%</w:t>
            </w:r>
            <w:r>
              <w:rPr>
                <w:rFonts w:hint="eastAsia"/>
                <w:sz w:val="24"/>
              </w:rPr>
              <w:t>。由此可见绥化市环境空气超标因子主要为</w:t>
            </w:r>
            <w:r>
              <w:rPr>
                <w:sz w:val="24"/>
              </w:rPr>
              <w:t>PM</w:t>
            </w:r>
            <w:r>
              <w:rPr>
                <w:sz w:val="24"/>
                <w:vertAlign w:val="subscript"/>
              </w:rPr>
              <w:t>2.5</w:t>
            </w:r>
            <w:r>
              <w:rPr>
                <w:rFonts w:hint="eastAsia"/>
                <w:sz w:val="24"/>
              </w:rPr>
              <w:t>。</w:t>
            </w:r>
          </w:p>
          <w:p>
            <w:pPr>
              <w:widowControl/>
              <w:spacing w:line="360" w:lineRule="auto"/>
              <w:ind w:firstLine="480" w:firstLineChars="200"/>
              <w:jc w:val="left"/>
              <w:rPr>
                <w:sz w:val="24"/>
              </w:rPr>
            </w:pPr>
            <w:r>
              <w:rPr>
                <w:rFonts w:hint="eastAsia"/>
                <w:sz w:val="24"/>
              </w:rPr>
              <w:t>2022年</w:t>
            </w:r>
            <w:r>
              <w:rPr>
                <w:sz w:val="24"/>
              </w:rPr>
              <w:t>北林区东富乡先锋村农村环境空气质量达标天数比例</w:t>
            </w:r>
            <w:r>
              <w:rPr>
                <w:rFonts w:hint="eastAsia"/>
                <w:sz w:val="24"/>
              </w:rPr>
              <w:t>为</w:t>
            </w:r>
            <w:r>
              <w:rPr>
                <w:sz w:val="24"/>
              </w:rPr>
              <w:t>100%</w:t>
            </w:r>
            <w:r>
              <w:rPr>
                <w:rFonts w:hint="eastAsia"/>
                <w:sz w:val="24"/>
              </w:rPr>
              <w:t>，二氧化硫、二氧化氮、一氧化碳、臭氧、可吸入颗粒物、细颗粒物均值分别为</w:t>
            </w:r>
            <w:r>
              <w:rPr>
                <w:sz w:val="24"/>
              </w:rPr>
              <w:t>18μg/m</w:t>
            </w:r>
            <w:r>
              <w:rPr>
                <w:sz w:val="24"/>
                <w:vertAlign w:val="superscript"/>
              </w:rPr>
              <w:t>3</w:t>
            </w:r>
            <w:r>
              <w:rPr>
                <w:rFonts w:hint="eastAsia"/>
                <w:sz w:val="24"/>
              </w:rPr>
              <w:t>、</w:t>
            </w:r>
            <w:r>
              <w:rPr>
                <w:sz w:val="24"/>
              </w:rPr>
              <w:t>20μg/m</w:t>
            </w:r>
            <w:r>
              <w:rPr>
                <w:sz w:val="24"/>
                <w:vertAlign w:val="superscript"/>
              </w:rPr>
              <w:t>3</w:t>
            </w:r>
            <w:r>
              <w:rPr>
                <w:rFonts w:hint="eastAsia"/>
                <w:sz w:val="24"/>
              </w:rPr>
              <w:t>、</w:t>
            </w:r>
            <w:r>
              <w:rPr>
                <w:sz w:val="24"/>
              </w:rPr>
              <w:t>0.6mg/m</w:t>
            </w:r>
            <w:r>
              <w:rPr>
                <w:sz w:val="24"/>
                <w:vertAlign w:val="superscript"/>
              </w:rPr>
              <w:t>3</w:t>
            </w:r>
            <w:r>
              <w:rPr>
                <w:rFonts w:hint="eastAsia"/>
                <w:sz w:val="24"/>
              </w:rPr>
              <w:t>、</w:t>
            </w:r>
            <w:r>
              <w:rPr>
                <w:sz w:val="24"/>
              </w:rPr>
              <w:t>80μg/m</w:t>
            </w:r>
            <w:r>
              <w:rPr>
                <w:sz w:val="24"/>
                <w:vertAlign w:val="superscript"/>
              </w:rPr>
              <w:t>3</w:t>
            </w:r>
            <w:r>
              <w:rPr>
                <w:rFonts w:hint="eastAsia"/>
                <w:sz w:val="24"/>
              </w:rPr>
              <w:t>、</w:t>
            </w:r>
            <w:r>
              <w:rPr>
                <w:sz w:val="24"/>
              </w:rPr>
              <w:t>56μg/m</w:t>
            </w:r>
            <w:r>
              <w:rPr>
                <w:sz w:val="24"/>
                <w:vertAlign w:val="superscript"/>
              </w:rPr>
              <w:t>3</w:t>
            </w:r>
            <w:r>
              <w:rPr>
                <w:rFonts w:hint="eastAsia"/>
                <w:sz w:val="24"/>
              </w:rPr>
              <w:t>、</w:t>
            </w:r>
            <w:r>
              <w:rPr>
                <w:sz w:val="24"/>
              </w:rPr>
              <w:t>25μg/m</w:t>
            </w:r>
            <w:r>
              <w:rPr>
                <w:sz w:val="24"/>
                <w:vertAlign w:val="superscript"/>
              </w:rPr>
              <w:t>3</w:t>
            </w:r>
            <w:r>
              <w:rPr>
                <w:rFonts w:hint="eastAsia"/>
                <w:sz w:val="24"/>
              </w:rPr>
              <w:t>，均符合二级标准要求，已开展监测的</w:t>
            </w:r>
            <w:r>
              <w:rPr>
                <w:sz w:val="24"/>
              </w:rPr>
              <w:t>15</w:t>
            </w:r>
            <w:r>
              <w:rPr>
                <w:rFonts w:hint="eastAsia"/>
                <w:sz w:val="24"/>
              </w:rPr>
              <w:t>天中，首要污染物以可吸入颗粒物为主。</w:t>
            </w:r>
          </w:p>
          <w:p>
            <w:pPr>
              <w:widowControl/>
              <w:spacing w:line="360" w:lineRule="auto"/>
              <w:ind w:firstLine="480" w:firstLineChars="200"/>
              <w:jc w:val="left"/>
              <w:rPr>
                <w:sz w:val="24"/>
              </w:rPr>
            </w:pPr>
            <w:r>
              <w:rPr>
                <w:sz w:val="24"/>
              </w:rPr>
              <w:t>本项目位于农村地区，该区域环境空气环境质量整体应比</w:t>
            </w:r>
            <w:r>
              <w:rPr>
                <w:rFonts w:hint="eastAsia"/>
                <w:sz w:val="24"/>
              </w:rPr>
              <w:t>绥化市</w:t>
            </w:r>
            <w:r>
              <w:rPr>
                <w:sz w:val="24"/>
              </w:rPr>
              <w:t>建成区好，大气污染源较少，</w:t>
            </w:r>
            <w:r>
              <w:rPr>
                <w:rFonts w:hint="eastAsia"/>
                <w:sz w:val="24"/>
              </w:rPr>
              <w:t>工程建设</w:t>
            </w:r>
            <w:r>
              <w:rPr>
                <w:sz w:val="24"/>
              </w:rPr>
              <w:t>范围内环境空气基本上可以满足《环境空气质量标准》（GB 3095-2012）二级标准要求。</w:t>
            </w:r>
          </w:p>
          <w:p>
            <w:pPr>
              <w:widowControl/>
              <w:spacing w:line="360" w:lineRule="auto"/>
              <w:ind w:firstLine="480" w:firstLineChars="200"/>
              <w:jc w:val="left"/>
              <w:rPr>
                <w:sz w:val="24"/>
              </w:rPr>
            </w:pPr>
            <w:r>
              <w:rPr>
                <w:rFonts w:hint="eastAsia"/>
                <w:sz w:val="24"/>
              </w:rPr>
              <w:t>（3）声环境质量现状</w:t>
            </w:r>
          </w:p>
          <w:p>
            <w:pPr>
              <w:widowControl/>
              <w:spacing w:line="360" w:lineRule="auto"/>
              <w:ind w:firstLine="480" w:firstLineChars="200"/>
              <w:jc w:val="left"/>
              <w:rPr>
                <w:sz w:val="24"/>
              </w:rPr>
            </w:pPr>
            <w:r>
              <w:rPr>
                <w:rFonts w:hint="eastAsia"/>
                <w:sz w:val="24"/>
              </w:rPr>
              <w:t>根据《2022年黑龙江省生态环境质量状况》，绥化市</w:t>
            </w:r>
            <w:r>
              <w:rPr>
                <w:sz w:val="24"/>
              </w:rPr>
              <w:t>区域昼间声环境质量为二级，等效声级为</w:t>
            </w:r>
            <w:r>
              <w:rPr>
                <w:rFonts w:hint="eastAsia"/>
                <w:sz w:val="24"/>
              </w:rPr>
              <w:t>53.3</w:t>
            </w:r>
            <w:r>
              <w:rPr>
                <w:sz w:val="24"/>
              </w:rPr>
              <w:t>dB（A）；道路交通昼间声环境质量为一级，等效</w:t>
            </w:r>
            <w:r>
              <w:rPr>
                <w:rFonts w:hint="eastAsia"/>
                <w:sz w:val="24"/>
              </w:rPr>
              <w:t>声</w:t>
            </w:r>
            <w:r>
              <w:rPr>
                <w:sz w:val="24"/>
              </w:rPr>
              <w:t>级为</w:t>
            </w:r>
            <w:r>
              <w:rPr>
                <w:rFonts w:hint="eastAsia"/>
                <w:sz w:val="24"/>
              </w:rPr>
              <w:t>66.9</w:t>
            </w:r>
            <w:r>
              <w:rPr>
                <w:sz w:val="24"/>
              </w:rPr>
              <w:t>dB（A）；功能区昼间总点次达标率</w:t>
            </w:r>
            <w:r>
              <w:rPr>
                <w:rFonts w:hint="eastAsia"/>
                <w:sz w:val="24"/>
              </w:rPr>
              <w:t>80.0</w:t>
            </w:r>
            <w:r>
              <w:rPr>
                <w:sz w:val="24"/>
              </w:rPr>
              <w:t>%；功能区</w:t>
            </w:r>
            <w:r>
              <w:rPr>
                <w:rFonts w:hint="eastAsia"/>
                <w:sz w:val="24"/>
              </w:rPr>
              <w:t>夜间</w:t>
            </w:r>
            <w:r>
              <w:rPr>
                <w:sz w:val="24"/>
              </w:rPr>
              <w:t>点次达标率</w:t>
            </w:r>
            <w:r>
              <w:rPr>
                <w:rFonts w:hint="eastAsia"/>
                <w:sz w:val="24"/>
              </w:rPr>
              <w:t>90.0</w:t>
            </w:r>
            <w:r>
              <w:rPr>
                <w:sz w:val="24"/>
              </w:rPr>
              <w:t>%。</w:t>
            </w:r>
          </w:p>
          <w:p>
            <w:pPr>
              <w:widowControl/>
              <w:spacing w:line="360" w:lineRule="auto"/>
              <w:ind w:firstLine="480" w:firstLineChars="200"/>
              <w:jc w:val="left"/>
            </w:pPr>
            <w:r>
              <w:rPr>
                <w:sz w:val="24"/>
              </w:rPr>
              <w:t>本项目位于农村地区，该区域声环境质量整体应比</w:t>
            </w:r>
            <w:r>
              <w:rPr>
                <w:rFonts w:hint="eastAsia"/>
                <w:sz w:val="24"/>
              </w:rPr>
              <w:t>绥化市</w:t>
            </w:r>
            <w:r>
              <w:rPr>
                <w:sz w:val="24"/>
              </w:rPr>
              <w:t>建成区好，噪声污染源较少，</w:t>
            </w:r>
            <w:r>
              <w:rPr>
                <w:rFonts w:hint="eastAsia"/>
                <w:sz w:val="24"/>
              </w:rPr>
              <w:t>工程建设</w:t>
            </w:r>
            <w:r>
              <w:rPr>
                <w:sz w:val="24"/>
              </w:rPr>
              <w:t>范围内声环境基本上可以满足《声环境质量标准》（GB3096-2008）中1类标准要求。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456" w:type="dxa"/>
            <w:noWrap w:val="0"/>
            <w:vAlign w:val="center"/>
          </w:tcPr>
          <w:p>
            <w:pPr>
              <w:adjustRightInd w:val="0"/>
              <w:snapToGrid w:val="0"/>
              <w:jc w:val="center"/>
              <w:rPr>
                <w:rFonts w:ascii="宋体" w:hAnsi="宋体" w:cs="宋体"/>
                <w:kern w:val="0"/>
                <w:sz w:val="24"/>
              </w:rPr>
            </w:pPr>
            <w:r>
              <w:rPr>
                <w:rFonts w:hint="eastAsia" w:ascii="宋体" w:hAnsi="宋体"/>
                <w:bCs/>
                <w:sz w:val="24"/>
              </w:rPr>
              <w:t>与项目有关的原有环境污染和生态破坏问题</w:t>
            </w:r>
          </w:p>
        </w:tc>
        <w:tc>
          <w:tcPr>
            <w:tcW w:w="8994" w:type="dxa"/>
            <w:noWrap w:val="0"/>
            <w:vAlign w:val="center"/>
          </w:tcPr>
          <w:p>
            <w:pPr>
              <w:widowControl/>
              <w:spacing w:line="360" w:lineRule="auto"/>
              <w:rPr>
                <w:rFonts w:hint="eastAsia"/>
                <w:b/>
                <w:sz w:val="24"/>
              </w:rPr>
            </w:pPr>
            <w:r>
              <w:rPr>
                <w:rFonts w:hint="eastAsia"/>
                <w:b/>
                <w:sz w:val="24"/>
              </w:rPr>
              <w:t>1、原有工程现状</w:t>
            </w:r>
          </w:p>
          <w:p>
            <w:pPr>
              <w:spacing w:line="360" w:lineRule="auto"/>
              <w:ind w:firstLine="480"/>
              <w:rPr>
                <w:rFonts w:hint="eastAsia"/>
                <w:sz w:val="24"/>
              </w:rPr>
            </w:pPr>
            <w:r>
              <w:rPr>
                <w:rFonts w:hint="eastAsia"/>
                <w:sz w:val="24"/>
              </w:rPr>
              <w:t>绥化市永安灌区渠首枢纽工程由黑龙江省水利勘测设计院设计，原绥化市工程公司施工，建设管理单位为原绥化市水利局工程建设指挥部。于1996年完成施工并投入运行，由原绥化市北林区水利局组织验收。枢纽建成至今未进行过大规模除险加固。</w:t>
            </w:r>
          </w:p>
          <w:p>
            <w:pPr>
              <w:widowControl/>
              <w:spacing w:line="360" w:lineRule="auto"/>
              <w:ind w:firstLine="480" w:firstLineChars="200"/>
              <w:jc w:val="left"/>
              <w:rPr>
                <w:rFonts w:hint="eastAsia"/>
                <w:sz w:val="24"/>
              </w:rPr>
            </w:pPr>
            <w:r>
              <w:rPr>
                <w:rFonts w:hint="eastAsia"/>
                <w:sz w:val="24"/>
              </w:rPr>
              <w:t>2023年11月，淮安市水利勘测设计研究院有限公司对绥化市永安灌区渠首枢纽泄洪闸进行了安全评价，并编制了《绥化市永安灌区渠首枢纽泄洪闸安全评价分析报告》，根据专家评审意见，审定并印发《绥化市永安灌区渠首枢纽泄洪闸安全鉴定报告书》，永安灌区渠首枢纽泄洪闸被评定为“三类闸”。其鉴定结论摘录部分如下：（1）消力池存在裂缝及表面剥蚀区域，海漫段防冲设施破损严重，长度不满足要求，不能满足消能防冲的需要，消能防冲安全性分级不满足标准要求，冲刷对临泄洪闸下游左侧引渠及右侧溢流坝安全存在一定影响；（2）闸室抗震安全满足标准要求，下游岸坡不稳定，可能影响闸室安全；（3）永安渠首枢纽泄洪闸金属结构闸门及埋件腐蚀严重；（4）启闭机正常使用，无备用电源等。</w:t>
            </w:r>
          </w:p>
          <w:p>
            <w:pPr>
              <w:widowControl/>
              <w:spacing w:line="360" w:lineRule="auto"/>
              <w:ind w:firstLine="480" w:firstLineChars="200"/>
              <w:jc w:val="left"/>
              <w:rPr>
                <w:rFonts w:hint="eastAsia"/>
                <w:sz w:val="24"/>
              </w:rPr>
            </w:pPr>
            <w:r>
              <w:rPr>
                <w:rFonts w:hint="eastAsia"/>
                <w:sz w:val="24"/>
              </w:rPr>
              <w:t>永安灌区渠首枢纽控制流域面积广，控制年径流量较大，承担的防洪压力较大。对保护下游农民和耕地，减轻下游及周围村屯的洪涝灾害，保证周边土地的防洪安全十分重要。</w:t>
            </w:r>
          </w:p>
          <w:p>
            <w:pPr>
              <w:widowControl/>
              <w:spacing w:line="360" w:lineRule="auto"/>
              <w:ind w:firstLine="480" w:firstLineChars="200"/>
              <w:jc w:val="left"/>
              <w:rPr>
                <w:rFonts w:hint="eastAsia"/>
                <w:sz w:val="24"/>
              </w:rPr>
            </w:pPr>
            <w:r>
              <w:rPr>
                <w:rFonts w:hint="eastAsia"/>
                <w:sz w:val="24"/>
              </w:rPr>
              <w:t>永安灌区渠首枢纽泄洪闸为永安灌区渠首枢纽工程的主要组成部分，通过本次除险加固，保证泄洪能力，减轻防洪压力。</w:t>
            </w:r>
          </w:p>
          <w:p>
            <w:pPr>
              <w:widowControl/>
              <w:spacing w:line="360" w:lineRule="auto"/>
              <w:jc w:val="center"/>
              <w:rPr>
                <w:rFonts w:hint="eastAsia"/>
                <w:sz w:val="24"/>
              </w:rPr>
            </w:pPr>
            <w:r>
              <w:drawing>
                <wp:inline distT="0" distB="0" distL="114300" distR="114300">
                  <wp:extent cx="4907280" cy="3691255"/>
                  <wp:effectExtent l="0" t="0" r="7620" b="4445"/>
                  <wp:docPr id="12" name="图片 5" descr="说明: D:\省院工作\2024\永安灌区渠首泄洪闸除险加固\4绥化市永安灌区渠首枢纽泄洪闸除险加固工程环评单行本\编制过程中用到文件\现场照片设总贺给2024.3.12\微信图片_2024031415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说明: D:\省院工作\2024\永安灌区渠首泄洪闸除险加固\4绥化市永安灌区渠首枢纽泄洪闸除险加固工程环评单行本\编制过程中用到文件\现场照片设总贺给2024.3.12\微信图片_20240314150656.jpg"/>
                          <pic:cNvPicPr>
                            <a:picLocks noChangeAspect="1"/>
                          </pic:cNvPicPr>
                        </pic:nvPicPr>
                        <pic:blipFill>
                          <a:blip r:embed="rId10"/>
                          <a:stretch>
                            <a:fillRect/>
                          </a:stretch>
                        </pic:blipFill>
                        <pic:spPr>
                          <a:xfrm>
                            <a:off x="0" y="0"/>
                            <a:ext cx="4907280" cy="3691255"/>
                          </a:xfrm>
                          <a:prstGeom prst="rect">
                            <a:avLst/>
                          </a:prstGeom>
                          <a:noFill/>
                          <a:ln>
                            <a:noFill/>
                          </a:ln>
                        </pic:spPr>
                      </pic:pic>
                    </a:graphicData>
                  </a:graphic>
                </wp:inline>
              </w:drawing>
            </w:r>
          </w:p>
          <w:p>
            <w:pPr>
              <w:widowControl/>
              <w:jc w:val="center"/>
              <w:rPr>
                <w:rFonts w:hint="eastAsia"/>
                <w:b/>
                <w:bCs/>
                <w:sz w:val="24"/>
              </w:rPr>
            </w:pPr>
            <w:r>
              <w:rPr>
                <w:rFonts w:hint="eastAsia"/>
                <w:b/>
                <w:bCs/>
                <w:sz w:val="24"/>
              </w:rPr>
              <w:t>图3-1  泄洪闸现状图（1）</w:t>
            </w:r>
          </w:p>
          <w:p>
            <w:pPr>
              <w:widowControl/>
              <w:spacing w:line="360" w:lineRule="auto"/>
              <w:ind w:firstLine="420" w:firstLineChars="200"/>
              <w:jc w:val="center"/>
              <w:rPr>
                <w:rFonts w:hint="eastAsia"/>
                <w:sz w:val="24"/>
              </w:rPr>
            </w:pPr>
            <w:r>
              <w:drawing>
                <wp:inline distT="0" distB="0" distL="114300" distR="114300">
                  <wp:extent cx="4696460" cy="3545205"/>
                  <wp:effectExtent l="0" t="0" r="8890" b="17145"/>
                  <wp:docPr id="13" name="图片 6" descr="说明: D:\省院工作\2024\永安灌区渠首泄洪闸除险加固\4绥化市永安灌区渠首枢纽泄洪闸除险加固工程环评单行本\编制过程中用到文件\现场照片设总贺给2024.3.12\微信图片_2024031415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说明: D:\省院工作\2024\永安灌区渠首泄洪闸除险加固\4绥化市永安灌区渠首枢纽泄洪闸除险加固工程环评单行本\编制过程中用到文件\现场照片设总贺给2024.3.12\微信图片_20240314150648.jpg"/>
                          <pic:cNvPicPr>
                            <a:picLocks noChangeAspect="1"/>
                          </pic:cNvPicPr>
                        </pic:nvPicPr>
                        <pic:blipFill>
                          <a:blip r:embed="rId11"/>
                          <a:stretch>
                            <a:fillRect/>
                          </a:stretch>
                        </pic:blipFill>
                        <pic:spPr>
                          <a:xfrm>
                            <a:off x="0" y="0"/>
                            <a:ext cx="4696460" cy="3545205"/>
                          </a:xfrm>
                          <a:prstGeom prst="rect">
                            <a:avLst/>
                          </a:prstGeom>
                          <a:noFill/>
                          <a:ln>
                            <a:noFill/>
                          </a:ln>
                        </pic:spPr>
                      </pic:pic>
                    </a:graphicData>
                  </a:graphic>
                </wp:inline>
              </w:drawing>
            </w:r>
          </w:p>
          <w:p>
            <w:pPr>
              <w:widowControl/>
              <w:jc w:val="center"/>
              <w:rPr>
                <w:rFonts w:hint="eastAsia"/>
                <w:sz w:val="24"/>
              </w:rPr>
            </w:pPr>
            <w:r>
              <w:rPr>
                <w:rFonts w:hint="eastAsia"/>
                <w:b/>
                <w:bCs/>
                <w:sz w:val="24"/>
              </w:rPr>
              <w:t>图3-2  泄洪闸现状图（2）</w:t>
            </w:r>
          </w:p>
          <w:p>
            <w:pPr>
              <w:widowControl/>
              <w:spacing w:line="360" w:lineRule="auto"/>
              <w:rPr>
                <w:rFonts w:hint="eastAsia"/>
                <w:b/>
                <w:sz w:val="24"/>
              </w:rPr>
            </w:pPr>
            <w:r>
              <w:rPr>
                <w:rFonts w:hint="eastAsia"/>
                <w:b/>
                <w:sz w:val="24"/>
              </w:rPr>
              <w:t>2、原有工程存在的主要环境问题</w:t>
            </w:r>
          </w:p>
          <w:p>
            <w:pPr>
              <w:spacing w:line="360" w:lineRule="auto"/>
              <w:ind w:firstLine="480"/>
              <w:rPr>
                <w:rFonts w:hint="eastAsia"/>
                <w:sz w:val="24"/>
                <w:lang w:bidi="en-US"/>
              </w:rPr>
            </w:pPr>
            <w:r>
              <w:rPr>
                <w:sz w:val="24"/>
                <w:lang w:bidi="en-US"/>
              </w:rPr>
              <w:t>原有工程为</w:t>
            </w:r>
            <w:r>
              <w:rPr>
                <w:rFonts w:hint="eastAsia"/>
                <w:sz w:val="24"/>
                <w:lang w:bidi="en-US"/>
              </w:rPr>
              <w:t>水利类中的防洪工程，主要任务是防洪</w:t>
            </w:r>
            <w:r>
              <w:rPr>
                <w:sz w:val="24"/>
                <w:lang w:bidi="en-US"/>
              </w:rPr>
              <w:t>，运行过程中工程本身没有污染物产生</w:t>
            </w:r>
            <w:r>
              <w:rPr>
                <w:rFonts w:hint="eastAsia"/>
                <w:sz w:val="24"/>
                <w:lang w:bidi="en-US"/>
              </w:rPr>
              <w:t>，</w:t>
            </w:r>
            <w:r>
              <w:rPr>
                <w:sz w:val="24"/>
                <w:lang w:bidi="en-US"/>
              </w:rPr>
              <w:t>不存在</w:t>
            </w:r>
            <w:r>
              <w:rPr>
                <w:rFonts w:hint="eastAsia"/>
                <w:sz w:val="24"/>
                <w:lang w:bidi="en-US"/>
              </w:rPr>
              <w:t>污染</w:t>
            </w:r>
            <w:r>
              <w:rPr>
                <w:sz w:val="24"/>
                <w:lang w:bidi="en-US"/>
              </w:rPr>
              <w:t>环境问题</w:t>
            </w:r>
            <w:r>
              <w:rPr>
                <w:rFonts w:hint="eastAsia"/>
                <w:sz w:val="24"/>
                <w:lang w:bidi="en-US"/>
              </w:rPr>
              <w:t>。</w:t>
            </w:r>
          </w:p>
          <w:p>
            <w:pPr>
              <w:widowControl/>
              <w:spacing w:line="360" w:lineRule="auto"/>
              <w:rPr>
                <w:rFonts w:hint="eastAsia"/>
                <w:b/>
                <w:sz w:val="24"/>
              </w:rPr>
            </w:pPr>
            <w:r>
              <w:rPr>
                <w:rFonts w:hint="eastAsia"/>
                <w:b/>
                <w:sz w:val="24"/>
              </w:rPr>
              <w:t>3、环保手续履行情况</w:t>
            </w:r>
          </w:p>
          <w:p>
            <w:pPr>
              <w:pStyle w:val="25"/>
              <w:adjustRightInd w:val="0"/>
              <w:snapToGrid w:val="0"/>
              <w:ind w:firstLine="480"/>
              <w:rPr>
                <w:rFonts w:ascii="Times New Roman" w:hAnsi="Times New Roman" w:cs="Times New Roman"/>
                <w:lang w:bidi="en-US"/>
              </w:rPr>
            </w:pPr>
            <w:r>
              <w:rPr>
                <w:rFonts w:hint="eastAsia" w:ascii="Times New Roman" w:hAnsi="Times New Roman" w:cs="Times New Roman"/>
              </w:rPr>
              <w:t>泄洪闸于1996年完成施工并投入运行，后</w:t>
            </w:r>
            <w:r>
              <w:rPr>
                <w:rFonts w:hint="eastAsia"/>
              </w:rPr>
              <w:t>未进行过大规模除险加固，</w:t>
            </w:r>
            <w:r>
              <w:rPr>
                <w:rFonts w:hint="eastAsia" w:ascii="Times New Roman" w:hAnsi="Times New Roman" w:cs="Times New Roman"/>
              </w:rPr>
              <w:t>至今未履行过环保手续。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456" w:type="dxa"/>
            <w:noWrap w:val="0"/>
            <w:vAlign w:val="center"/>
          </w:tcPr>
          <w:p>
            <w:pPr>
              <w:adjustRightInd w:val="0"/>
              <w:snapToGrid w:val="0"/>
              <w:jc w:val="center"/>
              <w:rPr>
                <w:rFonts w:ascii="宋体" w:hAnsi="宋体" w:cs="宋体"/>
                <w:kern w:val="0"/>
                <w:sz w:val="24"/>
              </w:rPr>
            </w:pPr>
            <w:r>
              <w:rPr>
                <w:rFonts w:hint="eastAsia" w:ascii="宋体" w:hAnsi="宋体" w:cs="宋体"/>
                <w:kern w:val="0"/>
                <w:sz w:val="24"/>
              </w:rPr>
              <w:t>生态环境保护目标</w:t>
            </w:r>
          </w:p>
        </w:tc>
        <w:tc>
          <w:tcPr>
            <w:tcW w:w="8994" w:type="dxa"/>
            <w:noWrap w:val="0"/>
            <w:vAlign w:val="center"/>
          </w:tcPr>
          <w:p>
            <w:pPr>
              <w:spacing w:line="360" w:lineRule="auto"/>
              <w:ind w:firstLine="480"/>
              <w:rPr>
                <w:rFonts w:hint="eastAsia"/>
                <w:sz w:val="24"/>
              </w:rPr>
            </w:pPr>
            <w:r>
              <w:rPr>
                <w:rFonts w:hint="eastAsia"/>
                <w:sz w:val="24"/>
              </w:rPr>
              <w:t>经排查，工程建设范围及附近不涉及国家公园、自然保护区、风景名胜区、饮用水水源保护区、森林公园、地质公园、重要湿地等环境敏感区，也不涉及生态保护红线。</w:t>
            </w:r>
          </w:p>
          <w:p>
            <w:pPr>
              <w:spacing w:line="360" w:lineRule="auto"/>
              <w:ind w:firstLine="480"/>
              <w:rPr>
                <w:rFonts w:hint="eastAsia"/>
                <w:sz w:val="24"/>
              </w:rPr>
            </w:pPr>
            <w:r>
              <w:rPr>
                <w:rFonts w:hint="eastAsia"/>
                <w:sz w:val="24"/>
              </w:rPr>
              <w:t>本项目主要环境保护目标为泄洪闸周边200m范围内的声环境、大气环境以及呼兰河干流水环境、生态环境等。</w:t>
            </w:r>
            <w:r>
              <w:rPr>
                <w:sz w:val="24"/>
              </w:rPr>
              <w:t>根据工程布置方案及周边环境特点，本工程环境保护目标具体见表</w:t>
            </w:r>
            <w:r>
              <w:rPr>
                <w:rFonts w:hint="eastAsia"/>
                <w:sz w:val="24"/>
              </w:rPr>
              <w:t>3.1-3</w:t>
            </w:r>
            <w:r>
              <w:rPr>
                <w:sz w:val="24"/>
              </w:rPr>
              <w:t>。</w:t>
            </w:r>
          </w:p>
          <w:p>
            <w:pPr>
              <w:spacing w:line="360" w:lineRule="auto"/>
              <w:ind w:firstLine="480"/>
              <w:rPr>
                <w:rFonts w:hint="eastAsia"/>
                <w:sz w:val="24"/>
              </w:rPr>
            </w:pPr>
          </w:p>
          <w:p>
            <w:pPr>
              <w:spacing w:line="360" w:lineRule="auto"/>
              <w:ind w:firstLine="480"/>
              <w:rPr>
                <w:rFonts w:hint="eastAsia"/>
                <w:sz w:val="24"/>
              </w:rPr>
            </w:pPr>
          </w:p>
          <w:p>
            <w:pPr>
              <w:spacing w:line="360" w:lineRule="auto"/>
              <w:ind w:firstLine="480"/>
              <w:rPr>
                <w:rFonts w:hint="eastAsia"/>
                <w:sz w:val="24"/>
              </w:rPr>
            </w:pPr>
          </w:p>
          <w:p>
            <w:pPr>
              <w:spacing w:line="360" w:lineRule="auto"/>
              <w:ind w:firstLine="480"/>
              <w:rPr>
                <w:rFonts w:hint="eastAsia"/>
                <w:sz w:val="24"/>
              </w:rPr>
            </w:pPr>
          </w:p>
          <w:p>
            <w:pPr>
              <w:spacing w:line="360" w:lineRule="auto"/>
              <w:ind w:firstLine="480"/>
              <w:rPr>
                <w:rFonts w:hint="eastAsia"/>
                <w:sz w:val="24"/>
              </w:rPr>
            </w:pPr>
          </w:p>
          <w:p>
            <w:pPr>
              <w:spacing w:line="360" w:lineRule="auto"/>
              <w:ind w:firstLine="480"/>
              <w:rPr>
                <w:rFonts w:hint="eastAsia"/>
                <w:sz w:val="24"/>
              </w:rPr>
            </w:pPr>
          </w:p>
          <w:p>
            <w:pPr>
              <w:spacing w:line="276" w:lineRule="auto"/>
              <w:ind w:firstLine="482"/>
              <w:jc w:val="center"/>
              <w:rPr>
                <w:rFonts w:hint="eastAsia"/>
                <w:b/>
                <w:bCs/>
                <w:sz w:val="24"/>
              </w:rPr>
            </w:pPr>
            <w:r>
              <w:rPr>
                <w:b/>
                <w:bCs/>
                <w:sz w:val="24"/>
              </w:rPr>
              <w:t>表</w:t>
            </w:r>
            <w:r>
              <w:rPr>
                <w:rFonts w:hint="eastAsia"/>
                <w:b/>
                <w:bCs/>
                <w:sz w:val="24"/>
              </w:rPr>
              <w:t>3.1-3  本工程环境保护目标一览表</w:t>
            </w:r>
          </w:p>
          <w:tbl>
            <w:tblPr>
              <w:tblStyle w:val="14"/>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6"/>
              <w:gridCol w:w="1731"/>
              <w:gridCol w:w="722"/>
              <w:gridCol w:w="1230"/>
              <w:gridCol w:w="113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9" w:hRule="atLeast"/>
                <w:tblHeader/>
                <w:jc w:val="center"/>
              </w:trPr>
              <w:tc>
                <w:tcPr>
                  <w:tcW w:w="549" w:type="pct"/>
                  <w:tcBorders>
                    <w:top w:val="single" w:color="auto" w:sz="4" w:space="0"/>
                  </w:tcBorders>
                  <w:noWrap w:val="0"/>
                  <w:vAlign w:val="center"/>
                </w:tcPr>
                <w:p>
                  <w:pPr>
                    <w:adjustRightInd w:val="0"/>
                    <w:spacing w:before="48" w:beforeLines="20" w:after="48" w:afterLines="20"/>
                    <w:jc w:val="center"/>
                    <w:rPr>
                      <w:szCs w:val="21"/>
                    </w:rPr>
                  </w:pPr>
                  <w:r>
                    <w:rPr>
                      <w:szCs w:val="21"/>
                    </w:rPr>
                    <w:t>环境要素</w:t>
                  </w:r>
                </w:p>
              </w:tc>
              <w:tc>
                <w:tcPr>
                  <w:tcW w:w="1026" w:type="pct"/>
                  <w:tcBorders>
                    <w:top w:val="single" w:color="auto" w:sz="4" w:space="0"/>
                  </w:tcBorders>
                  <w:noWrap w:val="0"/>
                  <w:vAlign w:val="center"/>
                </w:tcPr>
                <w:p>
                  <w:pPr>
                    <w:adjustRightInd w:val="0"/>
                    <w:spacing w:before="48" w:beforeLines="20" w:after="48" w:afterLines="20"/>
                    <w:jc w:val="center"/>
                    <w:rPr>
                      <w:szCs w:val="21"/>
                    </w:rPr>
                  </w:pPr>
                  <w:r>
                    <w:rPr>
                      <w:szCs w:val="21"/>
                    </w:rPr>
                    <w:t>敏感点名称</w:t>
                  </w:r>
                </w:p>
              </w:tc>
              <w:tc>
                <w:tcPr>
                  <w:tcW w:w="428" w:type="pct"/>
                  <w:tcBorders>
                    <w:top w:val="single" w:color="auto" w:sz="4" w:space="0"/>
                  </w:tcBorders>
                  <w:noWrap w:val="0"/>
                  <w:vAlign w:val="center"/>
                </w:tcPr>
                <w:p>
                  <w:pPr>
                    <w:adjustRightInd w:val="0"/>
                    <w:spacing w:before="48" w:beforeLines="20" w:after="48" w:afterLines="20"/>
                    <w:jc w:val="center"/>
                    <w:rPr>
                      <w:szCs w:val="21"/>
                    </w:rPr>
                  </w:pPr>
                  <w:r>
                    <w:rPr>
                      <w:szCs w:val="21"/>
                    </w:rPr>
                    <w:t>保护</w:t>
                  </w:r>
                </w:p>
                <w:p>
                  <w:pPr>
                    <w:adjustRightInd w:val="0"/>
                    <w:spacing w:before="48" w:beforeLines="20" w:after="48" w:afterLines="20"/>
                    <w:jc w:val="center"/>
                    <w:rPr>
                      <w:szCs w:val="21"/>
                    </w:rPr>
                  </w:pPr>
                  <w:r>
                    <w:rPr>
                      <w:szCs w:val="21"/>
                    </w:rPr>
                    <w:t>对象</w:t>
                  </w:r>
                </w:p>
              </w:tc>
              <w:tc>
                <w:tcPr>
                  <w:tcW w:w="729" w:type="pct"/>
                  <w:tcBorders>
                    <w:top w:val="single" w:color="auto" w:sz="4" w:space="0"/>
                  </w:tcBorders>
                  <w:noWrap w:val="0"/>
                  <w:vAlign w:val="center"/>
                </w:tcPr>
                <w:p>
                  <w:pPr>
                    <w:adjustRightInd w:val="0"/>
                    <w:spacing w:before="48" w:beforeLines="20" w:after="48" w:afterLines="20"/>
                    <w:jc w:val="center"/>
                    <w:rPr>
                      <w:szCs w:val="21"/>
                    </w:rPr>
                  </w:pPr>
                  <w:r>
                    <w:rPr>
                      <w:szCs w:val="21"/>
                    </w:rPr>
                    <w:t>与工程区位关系及距离</w:t>
                  </w:r>
                  <w:r>
                    <w:rPr>
                      <w:rFonts w:hint="eastAsia"/>
                      <w:szCs w:val="21"/>
                    </w:rPr>
                    <w:t>（m）</w:t>
                  </w:r>
                </w:p>
              </w:tc>
              <w:tc>
                <w:tcPr>
                  <w:tcW w:w="673" w:type="pct"/>
                  <w:tcBorders>
                    <w:top w:val="single" w:color="auto" w:sz="4" w:space="0"/>
                  </w:tcBorders>
                  <w:noWrap w:val="0"/>
                  <w:vAlign w:val="center"/>
                </w:tcPr>
                <w:p>
                  <w:pPr>
                    <w:adjustRightInd w:val="0"/>
                    <w:spacing w:before="48" w:beforeLines="20" w:after="48" w:afterLines="20"/>
                    <w:jc w:val="center"/>
                    <w:rPr>
                      <w:rFonts w:hint="eastAsia"/>
                      <w:szCs w:val="21"/>
                    </w:rPr>
                  </w:pPr>
                  <w:r>
                    <w:rPr>
                      <w:szCs w:val="21"/>
                    </w:rPr>
                    <w:t>200m范围内人口数量</w:t>
                  </w:r>
                </w:p>
                <w:p>
                  <w:pPr>
                    <w:widowControl/>
                    <w:jc w:val="left"/>
                  </w:pPr>
                  <w:r>
                    <w:rPr>
                      <w:rFonts w:hint="eastAsia"/>
                    </w:rPr>
                    <w:t>（人）</w:t>
                  </w:r>
                </w:p>
              </w:tc>
              <w:tc>
                <w:tcPr>
                  <w:tcW w:w="1595" w:type="pct"/>
                  <w:tcBorders>
                    <w:top w:val="single" w:color="auto" w:sz="4" w:space="0"/>
                  </w:tcBorders>
                  <w:noWrap w:val="0"/>
                  <w:vAlign w:val="center"/>
                </w:tcPr>
                <w:p>
                  <w:pPr>
                    <w:adjustRightInd w:val="0"/>
                    <w:spacing w:before="48" w:beforeLines="20" w:after="48" w:afterLines="20"/>
                    <w:jc w:val="center"/>
                    <w:rPr>
                      <w:szCs w:val="21"/>
                    </w:rPr>
                  </w:pPr>
                  <w:r>
                    <w:rPr>
                      <w:szCs w:val="21"/>
                    </w:rPr>
                    <w:t>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9" w:type="pct"/>
                  <w:noWrap w:val="0"/>
                  <w:vAlign w:val="center"/>
                </w:tcPr>
                <w:p>
                  <w:pPr>
                    <w:adjustRightInd w:val="0"/>
                    <w:spacing w:before="48" w:beforeLines="20" w:after="48" w:afterLines="20"/>
                    <w:jc w:val="center"/>
                    <w:rPr>
                      <w:szCs w:val="21"/>
                    </w:rPr>
                  </w:pPr>
                  <w:r>
                    <w:rPr>
                      <w:szCs w:val="21"/>
                    </w:rPr>
                    <w:t>水环境</w:t>
                  </w:r>
                </w:p>
              </w:tc>
              <w:tc>
                <w:tcPr>
                  <w:tcW w:w="1026" w:type="pct"/>
                  <w:noWrap w:val="0"/>
                  <w:vAlign w:val="center"/>
                </w:tcPr>
                <w:p>
                  <w:pPr>
                    <w:adjustRightInd w:val="0"/>
                    <w:spacing w:before="48" w:beforeLines="20" w:after="48" w:afterLines="20"/>
                    <w:jc w:val="center"/>
                    <w:rPr>
                      <w:szCs w:val="21"/>
                    </w:rPr>
                  </w:pPr>
                  <w:r>
                    <w:rPr>
                      <w:rFonts w:hint="eastAsia"/>
                      <w:szCs w:val="21"/>
                    </w:rPr>
                    <w:t>呼兰河</w:t>
                  </w:r>
                  <w:r>
                    <w:rPr>
                      <w:szCs w:val="21"/>
                    </w:rPr>
                    <w:t>干流水环境</w:t>
                  </w:r>
                </w:p>
              </w:tc>
              <w:tc>
                <w:tcPr>
                  <w:tcW w:w="428" w:type="pct"/>
                  <w:noWrap w:val="0"/>
                  <w:vAlign w:val="center"/>
                </w:tcPr>
                <w:p>
                  <w:pPr>
                    <w:adjustRightInd w:val="0"/>
                    <w:spacing w:before="48" w:beforeLines="20" w:after="48" w:afterLines="20"/>
                    <w:jc w:val="center"/>
                    <w:rPr>
                      <w:szCs w:val="21"/>
                    </w:rPr>
                  </w:pPr>
                  <w:r>
                    <w:rPr>
                      <w:szCs w:val="21"/>
                    </w:rPr>
                    <w:t>水质</w:t>
                  </w:r>
                </w:p>
              </w:tc>
              <w:tc>
                <w:tcPr>
                  <w:tcW w:w="729" w:type="pct"/>
                  <w:noWrap w:val="0"/>
                  <w:vAlign w:val="center"/>
                </w:tcPr>
                <w:p>
                  <w:pPr>
                    <w:adjustRightInd w:val="0"/>
                    <w:spacing w:before="48" w:beforeLines="20" w:after="48" w:afterLines="20"/>
                    <w:jc w:val="center"/>
                    <w:rPr>
                      <w:szCs w:val="21"/>
                    </w:rPr>
                  </w:pPr>
                  <w:r>
                    <w:rPr>
                      <w:szCs w:val="21"/>
                    </w:rPr>
                    <w:t>——</w:t>
                  </w:r>
                </w:p>
              </w:tc>
              <w:tc>
                <w:tcPr>
                  <w:tcW w:w="673" w:type="pct"/>
                  <w:noWrap w:val="0"/>
                  <w:vAlign w:val="center"/>
                </w:tcPr>
                <w:p>
                  <w:pPr>
                    <w:adjustRightInd w:val="0"/>
                    <w:spacing w:before="48" w:beforeLines="20" w:after="48" w:afterLines="20"/>
                    <w:jc w:val="center"/>
                    <w:rPr>
                      <w:szCs w:val="21"/>
                    </w:rPr>
                  </w:pPr>
                  <w:r>
                    <w:rPr>
                      <w:szCs w:val="21"/>
                    </w:rPr>
                    <w:t>—</w:t>
                  </w:r>
                  <w:r>
                    <w:rPr>
                      <w:szCs w:val="21"/>
                    </w:rPr>
                    <w:cr/>
                  </w:r>
                </w:p>
              </w:tc>
              <w:tc>
                <w:tcPr>
                  <w:tcW w:w="1595" w:type="pct"/>
                  <w:noWrap w:val="0"/>
                  <w:vAlign w:val="center"/>
                </w:tcPr>
                <w:p>
                  <w:pPr>
                    <w:adjustRightInd w:val="0"/>
                    <w:spacing w:before="48" w:beforeLines="20" w:after="48" w:afterLines="20"/>
                    <w:jc w:val="center"/>
                    <w:rPr>
                      <w:szCs w:val="21"/>
                    </w:rPr>
                  </w:pPr>
                  <w:r>
                    <w:rPr>
                      <w:szCs w:val="21"/>
                    </w:rPr>
                    <w:t>《地表水环境质量标准》（GB3838-2002）</w:t>
                  </w:r>
                  <w:r>
                    <w:rPr>
                      <w:rFonts w:hint="eastAsia"/>
                      <w:szCs w:val="21"/>
                    </w:rPr>
                    <w:t>Ⅲ</w:t>
                  </w:r>
                  <w:r>
                    <w:rPr>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9" w:type="pct"/>
                  <w:noWrap w:val="0"/>
                  <w:vAlign w:val="center"/>
                </w:tcPr>
                <w:p>
                  <w:pPr>
                    <w:adjustRightInd w:val="0"/>
                    <w:spacing w:before="48" w:beforeLines="20" w:after="48" w:afterLines="20"/>
                    <w:jc w:val="center"/>
                    <w:rPr>
                      <w:szCs w:val="21"/>
                    </w:rPr>
                  </w:pPr>
                  <w:r>
                    <w:rPr>
                      <w:szCs w:val="21"/>
                    </w:rPr>
                    <w:t>地下水</w:t>
                  </w:r>
                </w:p>
              </w:tc>
              <w:tc>
                <w:tcPr>
                  <w:tcW w:w="1026" w:type="pct"/>
                  <w:noWrap w:val="0"/>
                  <w:vAlign w:val="center"/>
                </w:tcPr>
                <w:p>
                  <w:pPr>
                    <w:adjustRightInd w:val="0"/>
                    <w:spacing w:before="48" w:beforeLines="20" w:after="48" w:afterLines="20"/>
                    <w:jc w:val="center"/>
                    <w:rPr>
                      <w:szCs w:val="21"/>
                    </w:rPr>
                  </w:pPr>
                  <w:r>
                    <w:rPr>
                      <w:szCs w:val="21"/>
                    </w:rPr>
                    <w:t>区域地下水</w:t>
                  </w:r>
                </w:p>
              </w:tc>
              <w:tc>
                <w:tcPr>
                  <w:tcW w:w="428" w:type="pct"/>
                  <w:noWrap w:val="0"/>
                  <w:vAlign w:val="center"/>
                </w:tcPr>
                <w:p>
                  <w:pPr>
                    <w:adjustRightInd w:val="0"/>
                    <w:spacing w:before="48" w:beforeLines="20" w:after="48" w:afterLines="20"/>
                    <w:jc w:val="center"/>
                    <w:rPr>
                      <w:szCs w:val="21"/>
                    </w:rPr>
                  </w:pPr>
                  <w:r>
                    <w:rPr>
                      <w:szCs w:val="21"/>
                    </w:rPr>
                    <w:t>水质</w:t>
                  </w:r>
                </w:p>
              </w:tc>
              <w:tc>
                <w:tcPr>
                  <w:tcW w:w="729" w:type="pct"/>
                  <w:noWrap w:val="0"/>
                  <w:vAlign w:val="center"/>
                </w:tcPr>
                <w:p>
                  <w:pPr>
                    <w:adjustRightInd w:val="0"/>
                    <w:spacing w:before="48" w:beforeLines="20" w:after="48" w:afterLines="20"/>
                    <w:jc w:val="center"/>
                    <w:rPr>
                      <w:szCs w:val="21"/>
                    </w:rPr>
                  </w:pPr>
                  <w:r>
                    <w:rPr>
                      <w:szCs w:val="21"/>
                    </w:rPr>
                    <w:t>建筑物及工程沿线</w:t>
                  </w:r>
                </w:p>
              </w:tc>
              <w:tc>
                <w:tcPr>
                  <w:tcW w:w="673" w:type="pct"/>
                  <w:noWrap w:val="0"/>
                  <w:vAlign w:val="center"/>
                </w:tcPr>
                <w:p>
                  <w:pPr>
                    <w:adjustRightInd w:val="0"/>
                    <w:spacing w:before="48" w:beforeLines="20" w:after="48" w:afterLines="20"/>
                    <w:jc w:val="center"/>
                    <w:rPr>
                      <w:szCs w:val="21"/>
                    </w:rPr>
                  </w:pPr>
                  <w:r>
                    <w:rPr>
                      <w:szCs w:val="21"/>
                    </w:rPr>
                    <w:t>——</w:t>
                  </w:r>
                </w:p>
              </w:tc>
              <w:tc>
                <w:tcPr>
                  <w:tcW w:w="1595" w:type="pct"/>
                  <w:noWrap w:val="0"/>
                  <w:vAlign w:val="center"/>
                </w:tcPr>
                <w:p>
                  <w:pPr>
                    <w:adjustRightInd w:val="0"/>
                    <w:spacing w:before="48" w:beforeLines="20" w:after="48" w:afterLines="20"/>
                    <w:jc w:val="center"/>
                    <w:rPr>
                      <w:szCs w:val="21"/>
                    </w:rPr>
                  </w:pPr>
                  <w:r>
                    <w:rPr>
                      <w:szCs w:val="21"/>
                    </w:rPr>
                    <w:t>《地下水质量标准》（GB/T14848-2017）</w:t>
                  </w:r>
                  <w:r>
                    <w:rPr>
                      <w:rFonts w:hint="eastAsia"/>
                      <w:szCs w:val="21"/>
                    </w:rPr>
                    <w:t>Ⅲ</w:t>
                  </w:r>
                  <w:r>
                    <w:rPr>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549" w:type="pct"/>
                  <w:noWrap w:val="0"/>
                  <w:vAlign w:val="center"/>
                </w:tcPr>
                <w:p>
                  <w:pPr>
                    <w:adjustRightInd w:val="0"/>
                    <w:spacing w:before="48" w:beforeLines="20" w:after="48" w:afterLines="20"/>
                    <w:jc w:val="center"/>
                    <w:rPr>
                      <w:szCs w:val="21"/>
                    </w:rPr>
                  </w:pPr>
                  <w:r>
                    <w:rPr>
                      <w:szCs w:val="21"/>
                    </w:rPr>
                    <w:t>土壤环境</w:t>
                  </w:r>
                </w:p>
              </w:tc>
              <w:tc>
                <w:tcPr>
                  <w:tcW w:w="1454" w:type="pct"/>
                  <w:gridSpan w:val="2"/>
                  <w:noWrap w:val="0"/>
                  <w:vAlign w:val="center"/>
                </w:tcPr>
                <w:p>
                  <w:pPr>
                    <w:adjustRightInd w:val="0"/>
                    <w:spacing w:before="48" w:beforeLines="20" w:after="48" w:afterLines="20"/>
                    <w:jc w:val="center"/>
                    <w:rPr>
                      <w:szCs w:val="21"/>
                    </w:rPr>
                  </w:pPr>
                  <w:r>
                    <w:rPr>
                      <w:szCs w:val="21"/>
                    </w:rPr>
                    <w:t>项目区外土壤</w:t>
                  </w:r>
                </w:p>
              </w:tc>
              <w:tc>
                <w:tcPr>
                  <w:tcW w:w="729" w:type="pct"/>
                  <w:noWrap w:val="0"/>
                  <w:vAlign w:val="center"/>
                </w:tcPr>
                <w:p>
                  <w:pPr>
                    <w:adjustRightInd w:val="0"/>
                    <w:spacing w:before="48" w:beforeLines="20" w:after="48" w:afterLines="20"/>
                    <w:jc w:val="center"/>
                    <w:rPr>
                      <w:szCs w:val="21"/>
                    </w:rPr>
                  </w:pPr>
                  <w:r>
                    <w:rPr>
                      <w:szCs w:val="21"/>
                    </w:rPr>
                    <w:t>——</w:t>
                  </w:r>
                </w:p>
              </w:tc>
              <w:tc>
                <w:tcPr>
                  <w:tcW w:w="673" w:type="pct"/>
                  <w:noWrap w:val="0"/>
                  <w:vAlign w:val="center"/>
                </w:tcPr>
                <w:p>
                  <w:pPr>
                    <w:adjustRightInd w:val="0"/>
                    <w:spacing w:before="48" w:beforeLines="20" w:after="48" w:afterLines="20"/>
                    <w:jc w:val="center"/>
                    <w:rPr>
                      <w:szCs w:val="21"/>
                    </w:rPr>
                  </w:pPr>
                  <w:r>
                    <w:rPr>
                      <w:szCs w:val="21"/>
                    </w:rPr>
                    <w:t>——</w:t>
                  </w:r>
                </w:p>
              </w:tc>
              <w:tc>
                <w:tcPr>
                  <w:tcW w:w="1595" w:type="pct"/>
                  <w:noWrap w:val="0"/>
                  <w:vAlign w:val="center"/>
                </w:tcPr>
                <w:p>
                  <w:pPr>
                    <w:adjustRightInd w:val="0"/>
                    <w:spacing w:before="48" w:beforeLines="20" w:after="48" w:afterLines="20"/>
                    <w:jc w:val="center"/>
                    <w:rPr>
                      <w:szCs w:val="21"/>
                    </w:rPr>
                  </w:pPr>
                  <w:r>
                    <w:rPr>
                      <w:szCs w:val="21"/>
                    </w:rPr>
                    <w:t>《土壤环境质量 农用地土壤污染风险管控标准（试行）》（GB15618-2018）中筛选值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4" w:hRule="atLeast"/>
                <w:jc w:val="center"/>
              </w:trPr>
              <w:tc>
                <w:tcPr>
                  <w:tcW w:w="549" w:type="pct"/>
                  <w:noWrap w:val="0"/>
                  <w:vAlign w:val="center"/>
                </w:tcPr>
                <w:p>
                  <w:pPr>
                    <w:adjustRightInd w:val="0"/>
                    <w:spacing w:before="48" w:beforeLines="20" w:after="48" w:afterLines="20"/>
                    <w:jc w:val="center"/>
                    <w:rPr>
                      <w:szCs w:val="21"/>
                    </w:rPr>
                  </w:pPr>
                  <w:r>
                    <w:rPr>
                      <w:szCs w:val="21"/>
                    </w:rPr>
                    <w:t>生态环境</w:t>
                  </w:r>
                </w:p>
              </w:tc>
              <w:tc>
                <w:tcPr>
                  <w:tcW w:w="1026" w:type="pct"/>
                  <w:noWrap w:val="0"/>
                  <w:vAlign w:val="center"/>
                </w:tcPr>
                <w:p>
                  <w:pPr>
                    <w:adjustRightInd w:val="0"/>
                    <w:spacing w:before="48" w:beforeLines="20" w:after="48" w:afterLines="20"/>
                    <w:jc w:val="center"/>
                    <w:rPr>
                      <w:szCs w:val="21"/>
                    </w:rPr>
                  </w:pPr>
                  <w:r>
                    <w:rPr>
                      <w:szCs w:val="21"/>
                    </w:rPr>
                    <w:t>工程沿线两侧野生动植物以及河流水生动植物，特别是鱼类；</w:t>
                  </w:r>
                  <w:r>
                    <w:rPr>
                      <w:rFonts w:hint="eastAsia"/>
                      <w:szCs w:val="21"/>
                    </w:rPr>
                    <w:t>临时生产生活区</w:t>
                  </w:r>
                  <w:r>
                    <w:rPr>
                      <w:szCs w:val="21"/>
                    </w:rPr>
                    <w:t>等周边野生动植物。</w:t>
                  </w:r>
                </w:p>
              </w:tc>
              <w:tc>
                <w:tcPr>
                  <w:tcW w:w="428" w:type="pct"/>
                  <w:noWrap w:val="0"/>
                  <w:vAlign w:val="center"/>
                </w:tcPr>
                <w:p>
                  <w:pPr>
                    <w:adjustRightInd w:val="0"/>
                    <w:spacing w:before="48" w:beforeLines="20" w:after="48" w:afterLines="20"/>
                    <w:jc w:val="center"/>
                    <w:rPr>
                      <w:szCs w:val="21"/>
                    </w:rPr>
                  </w:pPr>
                  <w:r>
                    <w:rPr>
                      <w:szCs w:val="21"/>
                    </w:rPr>
                    <w:t>陆生动植物、水生动植物</w:t>
                  </w:r>
                </w:p>
              </w:tc>
              <w:tc>
                <w:tcPr>
                  <w:tcW w:w="729" w:type="pct"/>
                  <w:noWrap w:val="0"/>
                  <w:vAlign w:val="center"/>
                </w:tcPr>
                <w:p>
                  <w:pPr>
                    <w:adjustRightInd w:val="0"/>
                    <w:spacing w:before="48" w:beforeLines="20" w:after="48" w:afterLines="20"/>
                    <w:jc w:val="center"/>
                    <w:rPr>
                      <w:szCs w:val="21"/>
                    </w:rPr>
                  </w:pPr>
                  <w:r>
                    <w:rPr>
                      <w:szCs w:val="21"/>
                    </w:rPr>
                    <w:t>水域、工程沿线两侧及</w:t>
                  </w:r>
                  <w:r>
                    <w:rPr>
                      <w:rFonts w:hint="eastAsia"/>
                      <w:szCs w:val="21"/>
                    </w:rPr>
                    <w:t>临时生产生活区等</w:t>
                  </w:r>
                  <w:r>
                    <w:rPr>
                      <w:szCs w:val="21"/>
                    </w:rPr>
                    <w:t>200m范围</w:t>
                  </w:r>
                </w:p>
              </w:tc>
              <w:tc>
                <w:tcPr>
                  <w:tcW w:w="673" w:type="pct"/>
                  <w:noWrap w:val="0"/>
                  <w:vAlign w:val="center"/>
                </w:tcPr>
                <w:p>
                  <w:pPr>
                    <w:adjustRightInd w:val="0"/>
                    <w:spacing w:before="48" w:beforeLines="20" w:after="48" w:afterLines="20"/>
                    <w:jc w:val="center"/>
                    <w:rPr>
                      <w:szCs w:val="21"/>
                    </w:rPr>
                  </w:pPr>
                  <w:r>
                    <w:rPr>
                      <w:szCs w:val="21"/>
                    </w:rPr>
                    <w:t>——</w:t>
                  </w:r>
                </w:p>
              </w:tc>
              <w:tc>
                <w:tcPr>
                  <w:tcW w:w="1595" w:type="pct"/>
                  <w:noWrap w:val="0"/>
                  <w:vAlign w:val="center"/>
                </w:tcPr>
                <w:p>
                  <w:pPr>
                    <w:adjustRightInd w:val="0"/>
                    <w:spacing w:before="48" w:beforeLines="20" w:after="48" w:afterLines="20"/>
                    <w:jc w:val="center"/>
                    <w:rPr>
                      <w:szCs w:val="21"/>
                    </w:rPr>
                  </w:pPr>
                  <w:r>
                    <w:rPr>
                      <w:szCs w:val="21"/>
                    </w:rPr>
                    <w:t>保护生境，维持生态系统的完整性</w:t>
                  </w:r>
                </w:p>
              </w:tc>
            </w:tr>
          </w:tbl>
          <w:p>
            <w:pPr>
              <w:pStyle w:val="25"/>
              <w:adjustRightInd w:val="0"/>
              <w:snapToGrid w:val="0"/>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456" w:type="dxa"/>
            <w:noWrap w:val="0"/>
            <w:vAlign w:val="center"/>
          </w:tcPr>
          <w:p>
            <w:pPr>
              <w:adjustRightInd w:val="0"/>
              <w:snapToGrid w:val="0"/>
              <w:jc w:val="center"/>
              <w:rPr>
                <w:rFonts w:hint="eastAsia" w:ascii="宋体" w:hAnsi="宋体" w:cs="宋体"/>
                <w:kern w:val="0"/>
                <w:sz w:val="24"/>
              </w:rPr>
            </w:pPr>
            <w:r>
              <w:rPr>
                <w:rFonts w:hint="eastAsia" w:ascii="宋体" w:hAnsi="宋体" w:cs="宋体"/>
                <w:kern w:val="0"/>
                <w:sz w:val="24"/>
              </w:rPr>
              <w:t>评价</w:t>
            </w:r>
          </w:p>
          <w:p>
            <w:pPr>
              <w:adjustRightInd w:val="0"/>
              <w:snapToGrid w:val="0"/>
              <w:jc w:val="center"/>
              <w:rPr>
                <w:rFonts w:ascii="宋体" w:hAnsi="宋体" w:cs="宋体"/>
                <w:kern w:val="0"/>
                <w:sz w:val="24"/>
              </w:rPr>
            </w:pPr>
            <w:r>
              <w:rPr>
                <w:rFonts w:hint="eastAsia" w:ascii="宋体" w:hAnsi="宋体" w:cs="宋体"/>
                <w:kern w:val="0"/>
                <w:sz w:val="24"/>
              </w:rPr>
              <w:t>标准</w:t>
            </w:r>
          </w:p>
        </w:tc>
        <w:tc>
          <w:tcPr>
            <w:tcW w:w="8994" w:type="dxa"/>
            <w:noWrap w:val="0"/>
            <w:vAlign w:val="center"/>
          </w:tcPr>
          <w:p>
            <w:pPr>
              <w:spacing w:line="360" w:lineRule="auto"/>
              <w:rPr>
                <w:rFonts w:hint="eastAsia"/>
                <w:sz w:val="24"/>
              </w:rPr>
            </w:pPr>
            <w:r>
              <w:rPr>
                <w:rFonts w:hint="eastAsia"/>
                <w:sz w:val="24"/>
              </w:rPr>
              <w:t>（1）</w:t>
            </w:r>
            <w:r>
              <w:rPr>
                <w:sz w:val="24"/>
              </w:rPr>
              <w:t>《地表水环境质量标准》（GB3838-2002）</w:t>
            </w:r>
            <w:r>
              <w:rPr>
                <w:rFonts w:hint="eastAsia" w:ascii="宋体" w:hAnsi="宋体" w:cs="宋体"/>
                <w:sz w:val="24"/>
              </w:rPr>
              <w:t>Ⅲ</w:t>
            </w:r>
            <w:r>
              <w:rPr>
                <w:sz w:val="24"/>
              </w:rPr>
              <w:t>类</w:t>
            </w:r>
            <w:r>
              <w:rPr>
                <w:rFonts w:hint="eastAsia"/>
                <w:sz w:val="24"/>
              </w:rPr>
              <w:t>；</w:t>
            </w:r>
          </w:p>
          <w:p>
            <w:pPr>
              <w:spacing w:line="360" w:lineRule="auto"/>
              <w:rPr>
                <w:rFonts w:hint="eastAsia"/>
                <w:sz w:val="24"/>
              </w:rPr>
            </w:pPr>
            <w:r>
              <w:rPr>
                <w:rFonts w:hint="eastAsia"/>
                <w:sz w:val="24"/>
              </w:rPr>
              <w:t>（2）《地下水质量标准》（GB/T14848-2017）Ⅲ类；</w:t>
            </w:r>
          </w:p>
          <w:p>
            <w:pPr>
              <w:spacing w:line="360" w:lineRule="auto"/>
              <w:rPr>
                <w:sz w:val="24"/>
                <w:szCs w:val="20"/>
              </w:rPr>
            </w:pPr>
            <w:r>
              <w:rPr>
                <w:rFonts w:hint="eastAsia"/>
                <w:sz w:val="24"/>
              </w:rPr>
              <w:t>（3）</w:t>
            </w:r>
            <w:r>
              <w:rPr>
                <w:sz w:val="24"/>
              </w:rPr>
              <w:t>《环境空气质量标准》（GB3095-</w:t>
            </w:r>
            <w:r>
              <w:rPr>
                <w:rFonts w:hint="eastAsia"/>
                <w:sz w:val="24"/>
              </w:rPr>
              <w:t>2012</w:t>
            </w:r>
            <w:r>
              <w:rPr>
                <w:sz w:val="24"/>
              </w:rPr>
              <w:t>）二级标准；</w:t>
            </w:r>
          </w:p>
          <w:p>
            <w:pPr>
              <w:spacing w:line="360" w:lineRule="auto"/>
              <w:rPr>
                <w:sz w:val="24"/>
              </w:rPr>
            </w:pPr>
            <w:r>
              <w:rPr>
                <w:rFonts w:hint="eastAsia"/>
                <w:sz w:val="24"/>
              </w:rPr>
              <w:t>（4）</w:t>
            </w:r>
            <w:r>
              <w:rPr>
                <w:sz w:val="24"/>
              </w:rPr>
              <w:t>《声环境质量标准》（GB3096-2008）1类；</w:t>
            </w:r>
          </w:p>
          <w:p>
            <w:pPr>
              <w:spacing w:line="360" w:lineRule="auto"/>
              <w:rPr>
                <w:rFonts w:hint="eastAsia"/>
                <w:sz w:val="24"/>
              </w:rPr>
            </w:pPr>
            <w:r>
              <w:rPr>
                <w:rFonts w:hint="eastAsia"/>
                <w:sz w:val="24"/>
              </w:rPr>
              <w:t>（5）《全国重要江河湖泊水功能区划（2011-2030）》；</w:t>
            </w:r>
          </w:p>
          <w:p>
            <w:pPr>
              <w:adjustRightInd w:val="0"/>
              <w:snapToGrid w:val="0"/>
              <w:spacing w:line="360" w:lineRule="auto"/>
              <w:rPr>
                <w:rFonts w:hint="eastAsia"/>
                <w:sz w:val="24"/>
              </w:rPr>
            </w:pPr>
            <w:r>
              <w:rPr>
                <w:rFonts w:hint="eastAsia"/>
                <w:sz w:val="24"/>
              </w:rPr>
              <w:t>（6）《污水综合排放标准》（GB8978-199）；</w:t>
            </w:r>
          </w:p>
          <w:p>
            <w:pPr>
              <w:adjustRightInd w:val="0"/>
              <w:snapToGrid w:val="0"/>
              <w:spacing w:line="360" w:lineRule="auto"/>
              <w:rPr>
                <w:sz w:val="24"/>
              </w:rPr>
            </w:pPr>
            <w:r>
              <w:rPr>
                <w:rFonts w:hint="eastAsia"/>
                <w:sz w:val="24"/>
              </w:rPr>
              <w:t>（7）</w:t>
            </w:r>
            <w:r>
              <w:rPr>
                <w:sz w:val="24"/>
              </w:rPr>
              <w:t>执行《大气污染物综合排放标准》（GB16297-1996）</w:t>
            </w:r>
            <w:r>
              <w:rPr>
                <w:rFonts w:hint="eastAsia"/>
                <w:sz w:val="24"/>
              </w:rPr>
              <w:t>表2</w:t>
            </w:r>
            <w:r>
              <w:rPr>
                <w:sz w:val="24"/>
              </w:rPr>
              <w:t>中颗粒物无组织排放监控浓度限值（1.0mg/m</w:t>
            </w:r>
            <w:r>
              <w:rPr>
                <w:sz w:val="24"/>
                <w:vertAlign w:val="superscript"/>
              </w:rPr>
              <w:t>3</w:t>
            </w:r>
            <w:r>
              <w:rPr>
                <w:sz w:val="24"/>
              </w:rPr>
              <w:t>）；</w:t>
            </w:r>
          </w:p>
          <w:p>
            <w:pPr>
              <w:adjustRightInd w:val="0"/>
              <w:snapToGrid w:val="0"/>
              <w:spacing w:line="360" w:lineRule="auto"/>
              <w:rPr>
                <w:sz w:val="24"/>
              </w:rPr>
            </w:pPr>
            <w:r>
              <w:rPr>
                <w:rFonts w:hint="eastAsia"/>
                <w:sz w:val="24"/>
              </w:rPr>
              <w:t>（8）</w:t>
            </w:r>
            <w:r>
              <w:rPr>
                <w:sz w:val="24"/>
              </w:rPr>
              <w:t>《建筑施工场界环境噪声排放标准》</w:t>
            </w:r>
            <w:r>
              <w:rPr>
                <w:rFonts w:hint="eastAsia"/>
                <w:sz w:val="24"/>
              </w:rPr>
              <w:t>（</w:t>
            </w:r>
            <w:r>
              <w:rPr>
                <w:sz w:val="24"/>
              </w:rPr>
              <w:t>GB12523-2011</w:t>
            </w:r>
            <w:r>
              <w:rPr>
                <w:rFonts w:hint="eastAsia"/>
                <w:sz w:val="24"/>
              </w:rPr>
              <w:t>）</w:t>
            </w:r>
            <w:r>
              <w:rPr>
                <w:sz w:val="24"/>
              </w:rPr>
              <w:t>；</w:t>
            </w:r>
          </w:p>
          <w:p>
            <w:pPr>
              <w:adjustRightInd w:val="0"/>
              <w:snapToGrid w:val="0"/>
              <w:spacing w:line="360" w:lineRule="auto"/>
              <w:rPr>
                <w:rFonts w:ascii="宋体" w:hAnsi="宋体" w:cs="宋体"/>
                <w:kern w:val="0"/>
                <w:szCs w:val="21"/>
              </w:rPr>
            </w:pPr>
            <w:r>
              <w:rPr>
                <w:rFonts w:hint="eastAsia"/>
                <w:sz w:val="24"/>
              </w:rPr>
              <w:t>（9）《一般工业固体废物贮存和填埋污染控制标准》（GB18599-2020）。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56" w:type="dxa"/>
            <w:noWrap w:val="0"/>
            <w:vAlign w:val="center"/>
          </w:tcPr>
          <w:p>
            <w:pPr>
              <w:adjustRightInd w:val="0"/>
              <w:snapToGrid w:val="0"/>
              <w:jc w:val="center"/>
              <w:rPr>
                <w:rFonts w:ascii="宋体" w:hAnsi="宋体" w:cs="宋体"/>
                <w:kern w:val="0"/>
                <w:sz w:val="24"/>
              </w:rPr>
            </w:pPr>
            <w:r>
              <w:rPr>
                <w:rFonts w:hint="eastAsia" w:ascii="宋体" w:hAnsi="宋体" w:cs="宋体"/>
                <w:kern w:val="0"/>
                <w:sz w:val="24"/>
              </w:rPr>
              <w:t>其他</w:t>
            </w:r>
          </w:p>
        </w:tc>
        <w:tc>
          <w:tcPr>
            <w:tcW w:w="8994" w:type="dxa"/>
            <w:noWrap w:val="0"/>
            <w:vAlign w:val="center"/>
          </w:tcPr>
          <w:p>
            <w:pPr>
              <w:spacing w:line="360" w:lineRule="auto"/>
              <w:rPr>
                <w:rFonts w:hint="eastAsia"/>
                <w:sz w:val="24"/>
                <w:szCs w:val="20"/>
              </w:rPr>
            </w:pPr>
            <w:r>
              <w:rPr>
                <w:rFonts w:hint="eastAsia"/>
                <w:sz w:val="24"/>
                <w:szCs w:val="20"/>
              </w:rPr>
              <w:t>（1）《中华人民共和国环境保护法》（主席令2014年第9号）（2015年1月1日实施）；</w:t>
            </w:r>
          </w:p>
          <w:p>
            <w:pPr>
              <w:spacing w:line="360" w:lineRule="auto"/>
              <w:rPr>
                <w:rFonts w:hint="eastAsia"/>
                <w:sz w:val="24"/>
                <w:szCs w:val="20"/>
              </w:rPr>
            </w:pPr>
            <w:r>
              <w:rPr>
                <w:rFonts w:hint="eastAsia"/>
                <w:sz w:val="24"/>
                <w:szCs w:val="20"/>
              </w:rPr>
              <w:t>（2）《中华人民共和国环境影响评价法（2018修正版）》（2018年12月29日实施）；</w:t>
            </w:r>
          </w:p>
          <w:p>
            <w:pPr>
              <w:spacing w:line="360" w:lineRule="auto"/>
              <w:rPr>
                <w:rFonts w:hint="eastAsia"/>
                <w:sz w:val="24"/>
                <w:szCs w:val="20"/>
              </w:rPr>
            </w:pPr>
            <w:r>
              <w:rPr>
                <w:rFonts w:hint="eastAsia"/>
                <w:sz w:val="24"/>
                <w:szCs w:val="20"/>
              </w:rPr>
              <w:t>（3）《中华人民共和国大气污染防治法（2018修订）》（2018年10月26日实施）；</w:t>
            </w:r>
          </w:p>
          <w:p>
            <w:pPr>
              <w:spacing w:line="360" w:lineRule="auto"/>
              <w:rPr>
                <w:rFonts w:hint="eastAsia"/>
                <w:sz w:val="24"/>
                <w:szCs w:val="20"/>
              </w:rPr>
            </w:pPr>
            <w:r>
              <w:rPr>
                <w:rFonts w:hint="eastAsia"/>
                <w:sz w:val="24"/>
                <w:szCs w:val="20"/>
              </w:rPr>
              <w:t>（4）《中华人民共和国水污染防治法》（2017年6月27日修正、2018年1月1日实施）；</w:t>
            </w:r>
          </w:p>
          <w:p>
            <w:pPr>
              <w:spacing w:line="360" w:lineRule="auto"/>
              <w:rPr>
                <w:rFonts w:hint="eastAsia"/>
                <w:sz w:val="24"/>
                <w:szCs w:val="20"/>
              </w:rPr>
            </w:pPr>
            <w:r>
              <w:rPr>
                <w:rFonts w:hint="eastAsia"/>
                <w:sz w:val="24"/>
                <w:szCs w:val="20"/>
              </w:rPr>
              <w:t>（5）《中华人民共和国噪声污染防治法》（2021年12月24日公布，2022年6月5日起施行）；</w:t>
            </w:r>
          </w:p>
          <w:p>
            <w:pPr>
              <w:spacing w:line="360" w:lineRule="auto"/>
              <w:rPr>
                <w:rFonts w:hint="eastAsia"/>
                <w:sz w:val="24"/>
                <w:szCs w:val="20"/>
              </w:rPr>
            </w:pPr>
            <w:r>
              <w:rPr>
                <w:rFonts w:hint="eastAsia"/>
                <w:sz w:val="24"/>
                <w:szCs w:val="20"/>
              </w:rPr>
              <w:t>（6）《中华人民共和国固体废物污染环境防治法（2020年修订）》（2020年9月1日实施）；</w:t>
            </w:r>
          </w:p>
          <w:p>
            <w:pPr>
              <w:spacing w:line="360" w:lineRule="auto"/>
              <w:rPr>
                <w:rFonts w:hint="eastAsia"/>
                <w:sz w:val="24"/>
                <w:szCs w:val="20"/>
              </w:rPr>
            </w:pPr>
            <w:r>
              <w:rPr>
                <w:rFonts w:hint="eastAsia"/>
                <w:sz w:val="24"/>
                <w:szCs w:val="20"/>
              </w:rPr>
              <w:t>（7）《中华人民共和国黑土地保护法》（2022年6月24日发布，2022年8月1日起施行）；</w:t>
            </w:r>
          </w:p>
          <w:p>
            <w:pPr>
              <w:spacing w:line="360" w:lineRule="auto"/>
              <w:rPr>
                <w:rFonts w:hint="eastAsia"/>
                <w:sz w:val="24"/>
                <w:szCs w:val="20"/>
              </w:rPr>
            </w:pPr>
            <w:r>
              <w:rPr>
                <w:rFonts w:hint="eastAsia"/>
                <w:sz w:val="24"/>
                <w:szCs w:val="20"/>
              </w:rPr>
              <w:t>（8）《建设项目环境保护管理条例》（中华人民共和国国务院令第682号）（2017年10月1日实施）；</w:t>
            </w:r>
          </w:p>
          <w:p>
            <w:pPr>
              <w:spacing w:line="360" w:lineRule="auto"/>
              <w:rPr>
                <w:rFonts w:hint="eastAsia"/>
                <w:sz w:val="24"/>
                <w:szCs w:val="20"/>
              </w:rPr>
            </w:pPr>
            <w:r>
              <w:rPr>
                <w:rFonts w:hint="eastAsia"/>
                <w:sz w:val="24"/>
                <w:szCs w:val="20"/>
              </w:rPr>
              <w:t>（9）《黑龙江省黑土地保护利用条例》（2023年12月24日修订）；</w:t>
            </w:r>
          </w:p>
          <w:p>
            <w:pPr>
              <w:spacing w:line="360" w:lineRule="auto"/>
              <w:rPr>
                <w:rFonts w:hint="eastAsia"/>
                <w:sz w:val="24"/>
                <w:szCs w:val="20"/>
              </w:rPr>
            </w:pPr>
            <w:r>
              <w:rPr>
                <w:rFonts w:hint="eastAsia"/>
                <w:sz w:val="24"/>
                <w:szCs w:val="20"/>
              </w:rPr>
              <w:t>（10）《黑龙江省人民政府办公厅关于建设占用耕地耕作层土壤剥离利用工作的指导意见（试行）》（黑政办规〔2021〕18号，2021年07月25日）；</w:t>
            </w:r>
          </w:p>
          <w:p>
            <w:pPr>
              <w:spacing w:line="360" w:lineRule="auto"/>
              <w:rPr>
                <w:rFonts w:hint="eastAsia"/>
                <w:sz w:val="24"/>
                <w:szCs w:val="20"/>
              </w:rPr>
            </w:pPr>
            <w:r>
              <w:rPr>
                <w:rFonts w:hint="eastAsia"/>
                <w:sz w:val="24"/>
                <w:szCs w:val="20"/>
              </w:rPr>
              <w:t>（11）《产业结构调整指导目录（2024年本）》（2023年12月1日发布，自2024年2月1日起施行）；</w:t>
            </w:r>
          </w:p>
          <w:p>
            <w:pPr>
              <w:spacing w:line="360" w:lineRule="auto"/>
              <w:rPr>
                <w:rFonts w:hint="eastAsia"/>
                <w:sz w:val="24"/>
                <w:szCs w:val="20"/>
              </w:rPr>
            </w:pPr>
            <w:r>
              <w:rPr>
                <w:rFonts w:hint="eastAsia"/>
                <w:sz w:val="24"/>
                <w:szCs w:val="20"/>
              </w:rPr>
              <w:t>（12）《建设项目环境影响评价分类管理名录》（2021版）（2020年11月30日）；</w:t>
            </w:r>
          </w:p>
          <w:p>
            <w:pPr>
              <w:spacing w:line="360" w:lineRule="auto"/>
              <w:rPr>
                <w:rFonts w:hint="eastAsia"/>
                <w:sz w:val="24"/>
                <w:szCs w:val="20"/>
              </w:rPr>
            </w:pPr>
            <w:r>
              <w:rPr>
                <w:rFonts w:hint="eastAsia"/>
                <w:sz w:val="24"/>
                <w:szCs w:val="20"/>
              </w:rPr>
              <w:t>（13）《环境影响评价技术导则 水利水电工程》（HJ/T 88-2003）（2003.07.01）；</w:t>
            </w:r>
          </w:p>
          <w:p>
            <w:pPr>
              <w:spacing w:line="360" w:lineRule="auto"/>
              <w:rPr>
                <w:rFonts w:hint="eastAsia"/>
                <w:sz w:val="24"/>
                <w:szCs w:val="20"/>
              </w:rPr>
            </w:pPr>
            <w:r>
              <w:rPr>
                <w:rFonts w:hint="eastAsia"/>
                <w:sz w:val="24"/>
                <w:szCs w:val="20"/>
              </w:rPr>
              <w:t>（14）《建设项目环境影响评价技术导则  总纲》（HJ2.1-2016）（2017.01.01）；</w:t>
            </w:r>
          </w:p>
          <w:p>
            <w:pPr>
              <w:spacing w:line="360" w:lineRule="auto"/>
              <w:rPr>
                <w:rFonts w:hint="eastAsia"/>
                <w:sz w:val="24"/>
                <w:szCs w:val="20"/>
              </w:rPr>
            </w:pPr>
            <w:r>
              <w:rPr>
                <w:rFonts w:hint="eastAsia"/>
                <w:sz w:val="24"/>
                <w:szCs w:val="20"/>
              </w:rPr>
              <w:t>（15）《环境影响评价技术导则  大气环境》（HJ2.2-2018）（2018.12.01）；</w:t>
            </w:r>
          </w:p>
          <w:p>
            <w:pPr>
              <w:spacing w:line="360" w:lineRule="auto"/>
              <w:rPr>
                <w:rFonts w:hint="eastAsia"/>
                <w:sz w:val="24"/>
                <w:szCs w:val="20"/>
              </w:rPr>
            </w:pPr>
            <w:r>
              <w:rPr>
                <w:rFonts w:hint="eastAsia"/>
                <w:sz w:val="24"/>
                <w:szCs w:val="20"/>
              </w:rPr>
              <w:t>（16）《环境影响评价技术导则  地表水环境》（HJ2.3-2018）（2019.03.01）；</w:t>
            </w:r>
          </w:p>
          <w:p>
            <w:pPr>
              <w:spacing w:line="360" w:lineRule="auto"/>
              <w:rPr>
                <w:rFonts w:hint="eastAsia"/>
                <w:sz w:val="24"/>
                <w:szCs w:val="20"/>
              </w:rPr>
            </w:pPr>
            <w:r>
              <w:rPr>
                <w:rFonts w:hint="eastAsia"/>
                <w:sz w:val="24"/>
                <w:szCs w:val="20"/>
              </w:rPr>
              <w:t>（17）《环境影响评价技术导则  声环境》（HJ2.4-2021）（2022.07.01）；</w:t>
            </w:r>
          </w:p>
          <w:p>
            <w:pPr>
              <w:spacing w:line="360" w:lineRule="auto"/>
              <w:rPr>
                <w:rFonts w:hint="eastAsia"/>
                <w:sz w:val="24"/>
                <w:szCs w:val="20"/>
              </w:rPr>
            </w:pPr>
            <w:r>
              <w:rPr>
                <w:rFonts w:hint="eastAsia"/>
                <w:sz w:val="24"/>
                <w:szCs w:val="20"/>
              </w:rPr>
              <w:t>（18）《声环境功能区划分技术规范》（GB/T15190-2014）（2015.01.01）；</w:t>
            </w:r>
          </w:p>
          <w:p>
            <w:pPr>
              <w:spacing w:line="360" w:lineRule="auto"/>
              <w:rPr>
                <w:rFonts w:hint="eastAsia"/>
                <w:sz w:val="24"/>
                <w:szCs w:val="20"/>
              </w:rPr>
            </w:pPr>
            <w:r>
              <w:rPr>
                <w:rFonts w:hint="eastAsia"/>
                <w:sz w:val="24"/>
                <w:szCs w:val="20"/>
              </w:rPr>
              <w:t>（19）《环境影响评价技术导则  地下水环境》（HJ610-2016）（2016.01.07）；</w:t>
            </w:r>
          </w:p>
          <w:p>
            <w:pPr>
              <w:spacing w:line="360" w:lineRule="auto"/>
              <w:rPr>
                <w:rFonts w:hint="eastAsia"/>
                <w:sz w:val="24"/>
                <w:szCs w:val="20"/>
              </w:rPr>
            </w:pPr>
            <w:r>
              <w:rPr>
                <w:rFonts w:hint="eastAsia"/>
                <w:sz w:val="24"/>
                <w:szCs w:val="20"/>
              </w:rPr>
              <w:t>（20）《环境影响评价技术导则  生态影响》（HJ19-2022）（2022.07.01）；</w:t>
            </w:r>
          </w:p>
          <w:p>
            <w:pPr>
              <w:spacing w:line="360" w:lineRule="auto"/>
              <w:rPr>
                <w:rFonts w:hint="eastAsia"/>
                <w:sz w:val="24"/>
                <w:szCs w:val="20"/>
              </w:rPr>
            </w:pPr>
            <w:r>
              <w:rPr>
                <w:rFonts w:hint="eastAsia"/>
                <w:sz w:val="24"/>
                <w:szCs w:val="20"/>
              </w:rPr>
              <w:t>（21）《黑龙江省地方标准--用水定额》（DB23/T727-2021）；</w:t>
            </w:r>
          </w:p>
          <w:p>
            <w:pPr>
              <w:spacing w:line="360" w:lineRule="auto"/>
              <w:rPr>
                <w:rFonts w:hint="eastAsia"/>
              </w:rPr>
            </w:pPr>
            <w:r>
              <w:rPr>
                <w:rFonts w:hint="eastAsia"/>
                <w:sz w:val="24"/>
                <w:szCs w:val="20"/>
              </w:rPr>
              <w:t>（22）《绥化市永安灌区渠首枢纽泄洪闸除险加固工程初步设计报告》（黑龙江省水利水电勘测设计研究院，2024年2月）。</w:t>
            </w:r>
          </w:p>
          <w:p>
            <w:pPr>
              <w:spacing w:line="360" w:lineRule="auto"/>
              <w:rPr>
                <w:rFonts w:hint="eastAsia"/>
                <w:sz w:val="24"/>
                <w:szCs w:val="20"/>
              </w:rPr>
            </w:pPr>
          </w:p>
          <w:p>
            <w:pPr>
              <w:spacing w:line="360" w:lineRule="auto"/>
              <w:rPr>
                <w:rFonts w:hint="eastAsia"/>
                <w:sz w:val="24"/>
                <w:szCs w:val="20"/>
              </w:rPr>
            </w:pPr>
          </w:p>
          <w:p>
            <w:pPr>
              <w:spacing w:line="360" w:lineRule="auto"/>
              <w:rPr>
                <w:rFonts w:hint="eastAsia"/>
                <w:sz w:val="24"/>
                <w:szCs w:val="20"/>
              </w:rPr>
            </w:pPr>
          </w:p>
          <w:p>
            <w:pPr>
              <w:spacing w:line="360" w:lineRule="auto"/>
              <w:rPr>
                <w:rFonts w:hint="eastAsia"/>
                <w:sz w:val="24"/>
                <w:szCs w:val="20"/>
              </w:rPr>
            </w:pPr>
          </w:p>
          <w:p>
            <w:pPr>
              <w:widowControl/>
              <w:jc w:val="left"/>
            </w:pPr>
          </w:p>
        </w:tc>
      </w:tr>
    </w:tbl>
    <w:p>
      <w:pPr>
        <w:pStyle w:val="12"/>
        <w:jc w:val="center"/>
        <w:outlineLvl w:val="0"/>
        <w:rPr>
          <w:rFonts w:ascii="黑体" w:hAnsi="黑体" w:eastAsia="黑体"/>
          <w:snapToGrid w:val="0"/>
          <w:sz w:val="30"/>
          <w:szCs w:val="30"/>
        </w:rPr>
      </w:pPr>
      <w:r>
        <w:rPr>
          <w:rFonts w:ascii="黑体" w:hAnsi="黑体" w:eastAsia="黑体"/>
          <w:snapToGrid w:val="0"/>
          <w:kern w:val="2"/>
          <w:sz w:val="36"/>
          <w:szCs w:val="36"/>
        </w:rPr>
        <w:br w:type="page"/>
      </w:r>
      <w:bookmarkStart w:id="23" w:name="_Toc138834966"/>
      <w:r>
        <w:rPr>
          <w:rFonts w:hint="eastAsia" w:ascii="黑体" w:hAnsi="黑体" w:eastAsia="黑体"/>
          <w:snapToGrid w:val="0"/>
          <w:sz w:val="30"/>
          <w:szCs w:val="30"/>
        </w:rPr>
        <w:t>四、生态环境影响分析</w:t>
      </w:r>
      <w:bookmarkEnd w:id="23"/>
    </w:p>
    <w:tbl>
      <w:tblPr>
        <w:tblStyle w:val="14"/>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879" w:type="dxa"/>
            <w:noWrap w:val="0"/>
            <w:tcMar>
              <w:left w:w="28" w:type="dxa"/>
              <w:right w:w="28" w:type="dxa"/>
            </w:tcMar>
            <w:vAlign w:val="center"/>
          </w:tcPr>
          <w:p>
            <w:pPr>
              <w:pStyle w:val="12"/>
              <w:adjustRightInd w:val="0"/>
              <w:snapToGrid w:val="0"/>
              <w:spacing w:before="0" w:beforeAutospacing="0" w:after="0" w:afterAutospacing="0" w:line="360" w:lineRule="auto"/>
              <w:jc w:val="center"/>
              <w:rPr>
                <w:rFonts w:cs="宋体"/>
                <w:bCs/>
                <w:kern w:val="2"/>
              </w:rPr>
            </w:pPr>
            <w:bookmarkStart w:id="24" w:name="_Hlk49796138"/>
            <w:r>
              <w:rPr>
                <w:rFonts w:hint="eastAsia" w:cs="宋体"/>
                <w:bCs/>
                <w:spacing w:val="10"/>
                <w:kern w:val="2"/>
              </w:rPr>
              <w:t>施工期生态环境影响分析</w:t>
            </w:r>
            <w:bookmarkEnd w:id="24"/>
          </w:p>
        </w:tc>
        <w:tc>
          <w:tcPr>
            <w:tcW w:w="8363" w:type="dxa"/>
            <w:noWrap w:val="0"/>
            <w:vAlign w:val="top"/>
          </w:tcPr>
          <w:p>
            <w:pPr>
              <w:widowControl/>
              <w:spacing w:line="360" w:lineRule="auto"/>
              <w:ind w:firstLine="480" w:firstLineChars="200"/>
              <w:rPr>
                <w:rFonts w:hint="eastAsia"/>
                <w:sz w:val="24"/>
              </w:rPr>
            </w:pPr>
            <w:r>
              <w:rPr>
                <w:rFonts w:hint="eastAsia"/>
                <w:sz w:val="24"/>
              </w:rPr>
              <w:t>本工程全部位于绥化市北林区境内，在北林区新华乡红星村北偏东约6km处，主要是针对现有泄洪闸进行除险加固。</w:t>
            </w:r>
          </w:p>
          <w:p>
            <w:pPr>
              <w:widowControl/>
              <w:spacing w:line="360" w:lineRule="auto"/>
              <w:rPr>
                <w:b/>
                <w:sz w:val="24"/>
              </w:rPr>
            </w:pPr>
            <w:r>
              <w:rPr>
                <w:rFonts w:hint="eastAsia"/>
                <w:b/>
                <w:sz w:val="24"/>
              </w:rPr>
              <w:t>1、对陆生生态的影响</w:t>
            </w:r>
          </w:p>
          <w:p>
            <w:pPr>
              <w:widowControl/>
              <w:spacing w:line="360" w:lineRule="auto"/>
              <w:ind w:firstLine="480" w:firstLineChars="200"/>
              <w:rPr>
                <w:rFonts w:hint="eastAsia"/>
                <w:sz w:val="24"/>
              </w:rPr>
            </w:pPr>
            <w:r>
              <w:rPr>
                <w:rFonts w:hint="eastAsia"/>
                <w:sz w:val="24"/>
              </w:rPr>
              <w:t>（1）对土地资源的影响</w:t>
            </w:r>
          </w:p>
          <w:p>
            <w:pPr>
              <w:widowControl/>
              <w:spacing w:line="360" w:lineRule="auto"/>
              <w:ind w:firstLine="480" w:firstLineChars="200"/>
              <w:rPr>
                <w:rFonts w:hint="eastAsia"/>
                <w:sz w:val="24"/>
              </w:rPr>
            </w:pPr>
            <w:r>
              <w:rPr>
                <w:rFonts w:hint="eastAsia"/>
                <w:sz w:val="24"/>
              </w:rPr>
              <w:t>本项目占地范围内不涉及基本农田和公益林。</w:t>
            </w:r>
          </w:p>
          <w:p>
            <w:pPr>
              <w:spacing w:line="360" w:lineRule="auto"/>
              <w:ind w:firstLine="480" w:firstLineChars="200"/>
              <w:rPr>
                <w:sz w:val="24"/>
              </w:rPr>
            </w:pPr>
            <w:r>
              <w:rPr>
                <w:rFonts w:hint="eastAsia"/>
                <w:sz w:val="24"/>
              </w:rPr>
              <w:t>工程建设永久占地总面积合计1.56hm</w:t>
            </w:r>
            <w:r>
              <w:rPr>
                <w:rFonts w:hint="eastAsia"/>
                <w:sz w:val="24"/>
                <w:vertAlign w:val="superscript"/>
              </w:rPr>
              <w:t>2</w:t>
            </w:r>
            <w:r>
              <w:rPr>
                <w:rFonts w:hint="eastAsia"/>
                <w:sz w:val="24"/>
              </w:rPr>
              <w:t>，</w:t>
            </w:r>
            <w:r>
              <w:rPr>
                <w:sz w:val="24"/>
              </w:rPr>
              <w:t>其中</w:t>
            </w:r>
            <w:r>
              <w:rPr>
                <w:rFonts w:hint="eastAsia"/>
                <w:sz w:val="24"/>
              </w:rPr>
              <w:t>其他草地0.06</w:t>
            </w:r>
            <w:r>
              <w:rPr>
                <w:sz w:val="24"/>
              </w:rPr>
              <w:t>hm</w:t>
            </w:r>
            <w:r>
              <w:rPr>
                <w:sz w:val="24"/>
                <w:vertAlign w:val="superscript"/>
              </w:rPr>
              <w:t>2</w:t>
            </w:r>
            <w:r>
              <w:rPr>
                <w:sz w:val="24"/>
              </w:rPr>
              <w:t>，</w:t>
            </w:r>
            <w:r>
              <w:rPr>
                <w:rFonts w:hint="eastAsia"/>
                <w:sz w:val="24"/>
              </w:rPr>
              <w:t>水工建筑用地0.08</w:t>
            </w:r>
            <w:r>
              <w:rPr>
                <w:sz w:val="24"/>
              </w:rPr>
              <w:t>hm</w:t>
            </w:r>
            <w:r>
              <w:rPr>
                <w:sz w:val="24"/>
                <w:vertAlign w:val="superscript"/>
              </w:rPr>
              <w:t>2</w:t>
            </w:r>
            <w:r>
              <w:rPr>
                <w:rFonts w:hint="eastAsia"/>
                <w:sz w:val="24"/>
              </w:rPr>
              <w:t>，河流水面1.42</w:t>
            </w:r>
            <w:r>
              <w:rPr>
                <w:sz w:val="24"/>
              </w:rPr>
              <w:t>hm</w:t>
            </w:r>
            <w:r>
              <w:rPr>
                <w:sz w:val="24"/>
                <w:vertAlign w:val="superscript"/>
              </w:rPr>
              <w:t>2</w:t>
            </w:r>
            <w:r>
              <w:rPr>
                <w:rFonts w:hint="eastAsia"/>
                <w:sz w:val="24"/>
              </w:rPr>
              <w:t>（水工建筑用地、河流水面均属于水域及水利设施用地，小计为1.50</w:t>
            </w:r>
            <w:r>
              <w:rPr>
                <w:sz w:val="24"/>
              </w:rPr>
              <w:t>hm</w:t>
            </w:r>
            <w:r>
              <w:rPr>
                <w:sz w:val="24"/>
                <w:vertAlign w:val="superscript"/>
              </w:rPr>
              <w:t>2</w:t>
            </w:r>
            <w:r>
              <w:rPr>
                <w:rFonts w:hint="eastAsia"/>
                <w:sz w:val="24"/>
              </w:rPr>
              <w:t>）。永久占地改变土地原有使用功能，在小尺度范围内改变了土地利用格局，造成可使用土地资源量的减少。工程永久占地的地类主要为河流水面和水工建筑用地，并且都属于水域及水利设施用地；另有少量的其他草地，仅占永久占地面积的3.86%。除占用的河流水面和水工建筑用地外，工程占地将导致少量其他草地资源永久损失，但相对于整个区域而言，永久占地面积仅占北林区土地资源的约0.0006%，且不新征永久占地，基本上不会改变现状土地利用现状类型，对土地资源影响轻微。</w:t>
            </w:r>
          </w:p>
          <w:p>
            <w:pPr>
              <w:spacing w:line="360" w:lineRule="auto"/>
              <w:ind w:firstLine="480" w:firstLineChars="200"/>
              <w:rPr>
                <w:sz w:val="24"/>
              </w:rPr>
            </w:pPr>
            <w:r>
              <w:rPr>
                <w:rFonts w:hint="eastAsia"/>
                <w:sz w:val="24"/>
              </w:rPr>
              <w:t>工程建设临时占地总面积合计0.38hm</w:t>
            </w:r>
            <w:r>
              <w:rPr>
                <w:rFonts w:hint="eastAsia"/>
                <w:sz w:val="24"/>
                <w:vertAlign w:val="superscript"/>
              </w:rPr>
              <w:t>2</w:t>
            </w:r>
            <w:r>
              <w:rPr>
                <w:rFonts w:hint="eastAsia"/>
                <w:sz w:val="24"/>
              </w:rPr>
              <w:t>，其中旱田0.11hm</w:t>
            </w:r>
            <w:r>
              <w:rPr>
                <w:rFonts w:hint="eastAsia"/>
                <w:sz w:val="24"/>
                <w:vertAlign w:val="superscript"/>
              </w:rPr>
              <w:t>2</w:t>
            </w:r>
            <w:r>
              <w:rPr>
                <w:rFonts w:hint="eastAsia"/>
                <w:sz w:val="24"/>
              </w:rPr>
              <w:t>，其他草地00.27hm</w:t>
            </w:r>
            <w:r>
              <w:rPr>
                <w:rFonts w:hint="eastAsia"/>
                <w:sz w:val="24"/>
                <w:vertAlign w:val="superscript"/>
              </w:rPr>
              <w:t>2</w:t>
            </w:r>
            <w:r>
              <w:rPr>
                <w:rFonts w:hint="eastAsia"/>
                <w:sz w:val="24"/>
              </w:rPr>
              <w:t>。</w:t>
            </w:r>
            <w:r>
              <w:rPr>
                <w:sz w:val="24"/>
              </w:rPr>
              <w:t>临时占地使占地区植被遭到破坏，造成占地区生物量损失。</w:t>
            </w:r>
            <w:r>
              <w:rPr>
                <w:rFonts w:hint="eastAsia"/>
                <w:sz w:val="24"/>
              </w:rPr>
              <w:t>工程轮廓线占地范围内表土剥离后堆存，开挖料堆放等</w:t>
            </w:r>
            <w:r>
              <w:rPr>
                <w:sz w:val="24"/>
              </w:rPr>
              <w:t>在临时堆放过程中将占压部分土地，影响土地资源利用，且在多风、有雨的天气还会造成一定的水土流失。</w:t>
            </w:r>
            <w:r>
              <w:rPr>
                <w:rFonts w:hint="eastAsia"/>
                <w:sz w:val="24"/>
              </w:rPr>
              <w:t>临时占地包括施工生产区、生活区，占地类型为旱田和其他草地。</w:t>
            </w:r>
            <w:r>
              <w:rPr>
                <w:sz w:val="24"/>
              </w:rPr>
              <w:t>临时占地具有临时性，临时占地仅在施工期改变土地类型，施工结束后通过场地清理、平整、回填表土后进行</w:t>
            </w:r>
            <w:r>
              <w:rPr>
                <w:rFonts w:hint="eastAsia"/>
                <w:sz w:val="24"/>
              </w:rPr>
              <w:t>复垦和植被恢复</w:t>
            </w:r>
            <w:r>
              <w:rPr>
                <w:sz w:val="24"/>
              </w:rPr>
              <w:t>，可恢复为</w:t>
            </w:r>
            <w:r>
              <w:rPr>
                <w:rFonts w:hint="eastAsia"/>
                <w:sz w:val="24"/>
              </w:rPr>
              <w:t>旱田或草地。由于临时占地为旱田、其他草地等，施工结束后需要对临时占用的旱田进行复垦，占用的其他草地仍恢复为草地，工程建设对环境的</w:t>
            </w:r>
            <w:r>
              <w:rPr>
                <w:sz w:val="24"/>
              </w:rPr>
              <w:t>不利影响可基本得到减免</w:t>
            </w:r>
            <w:r>
              <w:rPr>
                <w:rFonts w:hint="eastAsia"/>
                <w:sz w:val="24"/>
              </w:rPr>
              <w:t>，而且施工期仅6个月，影响时间较短，临时占地恢复手段较为成熟，因此临时占地对环境影响是暂时的，可接受的。</w:t>
            </w:r>
          </w:p>
          <w:p>
            <w:pPr>
              <w:adjustRightInd w:val="0"/>
              <w:snapToGrid w:val="0"/>
              <w:spacing w:line="360" w:lineRule="auto"/>
              <w:ind w:firstLine="480" w:firstLineChars="200"/>
              <w:rPr>
                <w:rFonts w:hint="eastAsia"/>
                <w:sz w:val="24"/>
              </w:rPr>
            </w:pPr>
            <w:r>
              <w:rPr>
                <w:rFonts w:hint="eastAsia"/>
                <w:sz w:val="24"/>
              </w:rPr>
              <w:t>（2）对植物的影响</w:t>
            </w:r>
          </w:p>
          <w:p>
            <w:pPr>
              <w:adjustRightInd w:val="0"/>
              <w:snapToGrid w:val="0"/>
              <w:spacing w:line="360" w:lineRule="auto"/>
              <w:ind w:firstLine="480" w:firstLineChars="200"/>
              <w:rPr>
                <w:rFonts w:hint="eastAsia"/>
                <w:sz w:val="24"/>
              </w:rPr>
            </w:pPr>
            <w:r>
              <w:rPr>
                <w:sz w:val="24"/>
              </w:rPr>
              <w:t>工程实施占地</w:t>
            </w:r>
            <w:r>
              <w:rPr>
                <w:rFonts w:hint="eastAsia"/>
                <w:sz w:val="24"/>
              </w:rPr>
              <w:t>包括河流水面、其他草地、旱田、水工建筑用地，以河流水面最多</w:t>
            </w:r>
            <w:r>
              <w:rPr>
                <w:sz w:val="24"/>
              </w:rPr>
              <w:t>，同时还</w:t>
            </w:r>
            <w:r>
              <w:rPr>
                <w:rFonts w:hint="eastAsia"/>
                <w:sz w:val="24"/>
              </w:rPr>
              <w:t>占用</w:t>
            </w:r>
            <w:r>
              <w:rPr>
                <w:sz w:val="24"/>
              </w:rPr>
              <w:t>部分</w:t>
            </w:r>
            <w:r>
              <w:rPr>
                <w:rFonts w:hint="eastAsia"/>
                <w:sz w:val="24"/>
              </w:rPr>
              <w:t>其他草地、旱田、水工建筑用地等。</w:t>
            </w:r>
            <w:r>
              <w:rPr>
                <w:sz w:val="24"/>
              </w:rPr>
              <w:t>工程占地将造成</w:t>
            </w:r>
            <w:r>
              <w:rPr>
                <w:rFonts w:hint="eastAsia"/>
                <w:sz w:val="24"/>
              </w:rPr>
              <w:t>耕地</w:t>
            </w:r>
            <w:r>
              <w:rPr>
                <w:sz w:val="24"/>
              </w:rPr>
              <w:t>破坏，引起农作物减产，</w:t>
            </w:r>
            <w:r>
              <w:rPr>
                <w:rFonts w:hint="eastAsia"/>
                <w:sz w:val="24"/>
              </w:rPr>
              <w:t>其他草地</w:t>
            </w:r>
            <w:r>
              <w:rPr>
                <w:sz w:val="24"/>
              </w:rPr>
              <w:t>等自然生物量损失，对工程所在区域自然生态系统产生不利影响。</w:t>
            </w:r>
            <w:r>
              <w:rPr>
                <w:rFonts w:hint="eastAsia"/>
                <w:sz w:val="24"/>
              </w:rPr>
              <w:t>由于工程占地范围小</w:t>
            </w:r>
            <w:r>
              <w:rPr>
                <w:sz w:val="24"/>
              </w:rPr>
              <w:t>，其影响较</w:t>
            </w:r>
            <w:r>
              <w:rPr>
                <w:rFonts w:hint="eastAsia"/>
                <w:sz w:val="24"/>
              </w:rPr>
              <w:t>小</w:t>
            </w:r>
            <w:r>
              <w:rPr>
                <w:sz w:val="24"/>
              </w:rPr>
              <w:t>。</w:t>
            </w:r>
          </w:p>
          <w:p>
            <w:pPr>
              <w:adjustRightInd w:val="0"/>
              <w:snapToGrid w:val="0"/>
              <w:spacing w:line="360" w:lineRule="auto"/>
              <w:ind w:firstLine="480" w:firstLineChars="200"/>
              <w:rPr>
                <w:sz w:val="24"/>
              </w:rPr>
            </w:pPr>
            <w:r>
              <w:rPr>
                <w:rFonts w:hint="eastAsia"/>
                <w:sz w:val="24"/>
              </w:rPr>
              <w:t>工程永久占地中其他草地占项目区对应地类的比重较小，</w:t>
            </w:r>
            <w:r>
              <w:rPr>
                <w:sz w:val="24"/>
              </w:rPr>
              <w:t>工程</w:t>
            </w:r>
            <w:r>
              <w:rPr>
                <w:rFonts w:hint="eastAsia"/>
                <w:sz w:val="24"/>
              </w:rPr>
              <w:t>永久</w:t>
            </w:r>
            <w:r>
              <w:rPr>
                <w:sz w:val="24"/>
              </w:rPr>
              <w:t>占地对项目区的生态系统的完整性不会产生影响</w:t>
            </w:r>
            <w:r>
              <w:rPr>
                <w:rFonts w:hint="eastAsia"/>
                <w:sz w:val="24"/>
              </w:rPr>
              <w:t>。虽然</w:t>
            </w:r>
            <w:r>
              <w:rPr>
                <w:sz w:val="24"/>
              </w:rPr>
              <w:t>工程占地对植被造成</w:t>
            </w:r>
            <w:r>
              <w:rPr>
                <w:rFonts w:hint="eastAsia"/>
                <w:sz w:val="24"/>
              </w:rPr>
              <w:t>一定影响</w:t>
            </w:r>
            <w:r>
              <w:rPr>
                <w:sz w:val="24"/>
              </w:rPr>
              <w:t>，但工程占地范围内的植物在当地其他范围内均有分布，</w:t>
            </w:r>
            <w:r>
              <w:rPr>
                <w:rFonts w:hint="eastAsia"/>
                <w:sz w:val="24"/>
              </w:rPr>
              <w:t>为常见物种，整体看施工期工程建设对植物的影响程度不大，运营期对植物基本无影响。</w:t>
            </w:r>
          </w:p>
          <w:p>
            <w:pPr>
              <w:widowControl/>
              <w:spacing w:line="360" w:lineRule="auto"/>
              <w:ind w:firstLine="480" w:firstLineChars="200"/>
              <w:jc w:val="left"/>
              <w:rPr>
                <w:sz w:val="24"/>
              </w:rPr>
            </w:pPr>
            <w:r>
              <w:rPr>
                <w:rFonts w:hint="eastAsia"/>
                <w:sz w:val="24"/>
              </w:rPr>
              <w:t>临时占地及附近区域受农业活动影响相对较大，除耕地外，田间未利用草地、分布零星，连续性较低，整体看分布的斑块物种较为单一，草地主要物种为</w:t>
            </w:r>
            <w:r>
              <w:rPr>
                <w:sz w:val="24"/>
              </w:rPr>
              <w:t>菊科</w:t>
            </w:r>
            <w:r>
              <w:rPr>
                <w:rFonts w:hint="eastAsia"/>
                <w:sz w:val="24"/>
              </w:rPr>
              <w:t>的</w:t>
            </w:r>
            <w:r>
              <w:rPr>
                <w:sz w:val="24"/>
              </w:rPr>
              <w:t>黄花蒿</w:t>
            </w:r>
            <w:r>
              <w:rPr>
                <w:rFonts w:hint="eastAsia"/>
                <w:sz w:val="24"/>
              </w:rPr>
              <w:t>、</w:t>
            </w:r>
            <w:r>
              <w:rPr>
                <w:sz w:val="24"/>
              </w:rPr>
              <w:t>矮蒿</w:t>
            </w:r>
            <w:r>
              <w:rPr>
                <w:rFonts w:hint="eastAsia"/>
                <w:sz w:val="24"/>
              </w:rPr>
              <w:t>，</w:t>
            </w:r>
            <w:r>
              <w:rPr>
                <w:sz w:val="24"/>
              </w:rPr>
              <w:t>蔷薇科</w:t>
            </w:r>
            <w:r>
              <w:rPr>
                <w:rFonts w:hint="eastAsia"/>
                <w:sz w:val="24"/>
              </w:rPr>
              <w:t>的</w:t>
            </w:r>
            <w:r>
              <w:rPr>
                <w:sz w:val="24"/>
              </w:rPr>
              <w:t>路边青</w:t>
            </w:r>
            <w:r>
              <w:rPr>
                <w:rFonts w:hint="eastAsia"/>
                <w:sz w:val="24"/>
              </w:rPr>
              <w:t>，马齿苋科的马齿苋，禾本科的狗尾草等常见田间物种。本项目施工临时占地中的耕地受人为干扰强度大。施工期间耕地当年停止耕种，会降低区域农产品产量，耕地年损失生物量可以通过补偿的形式进行平衡。施工结束后，工程采取土地清理、回填、平整、复耕及植被恢复等措施将临时占地恢复成原有地类，其不利影响可基本得到缓解，因此，工程临时占地对耕地和植被的影响是暂时的。</w:t>
            </w:r>
          </w:p>
          <w:p>
            <w:pPr>
              <w:adjustRightInd w:val="0"/>
              <w:snapToGrid w:val="0"/>
              <w:spacing w:line="360" w:lineRule="auto"/>
              <w:ind w:firstLine="480" w:firstLineChars="200"/>
            </w:pPr>
            <w:r>
              <w:rPr>
                <w:rFonts w:hint="eastAsia"/>
                <w:sz w:val="24"/>
              </w:rPr>
              <w:t>经调查，工程占地范围内未发现国家重点保护野生植物。另外，通过本次泄洪闸除险加固，保证泄洪能力，减轻防洪压力，对保护下游农民和耕地，减轻下游及周围村屯的洪涝灾害，保证周边土地的防洪安全十分重要。</w:t>
            </w:r>
          </w:p>
          <w:p>
            <w:pPr>
              <w:adjustRightInd w:val="0"/>
              <w:snapToGrid w:val="0"/>
              <w:spacing w:line="360" w:lineRule="auto"/>
              <w:ind w:firstLine="480" w:firstLineChars="200"/>
              <w:rPr>
                <w:rFonts w:hint="eastAsia"/>
                <w:sz w:val="24"/>
              </w:rPr>
            </w:pPr>
            <w:r>
              <w:rPr>
                <w:rFonts w:hint="eastAsia"/>
                <w:sz w:val="24"/>
              </w:rPr>
              <w:t>（3）对动物的影响</w:t>
            </w:r>
          </w:p>
          <w:p>
            <w:pPr>
              <w:widowControl/>
              <w:spacing w:line="360" w:lineRule="auto"/>
              <w:ind w:firstLine="480" w:firstLineChars="200"/>
              <w:rPr>
                <w:rFonts w:hint="eastAsia"/>
                <w:sz w:val="24"/>
              </w:rPr>
            </w:pPr>
            <w:r>
              <w:rPr>
                <w:rFonts w:hint="eastAsia"/>
                <w:sz w:val="24"/>
              </w:rPr>
              <w:t>拟建工程区域，农田大面积分布，野生动物主要以麻雀、家燕、喜鹊、大嘴乌鸦等居民点常见鸟类为主，此外还有鼠类和农田啮齿类哺乳动物。经调查，没有发现珍稀濒危野生动物及其栖息繁殖。</w:t>
            </w:r>
          </w:p>
          <w:p>
            <w:pPr>
              <w:widowControl/>
              <w:spacing w:line="360" w:lineRule="auto"/>
              <w:ind w:firstLine="480" w:firstLineChars="200"/>
              <w:jc w:val="left"/>
              <w:rPr>
                <w:rFonts w:hint="eastAsia"/>
                <w:sz w:val="24"/>
              </w:rPr>
            </w:pPr>
            <w:r>
              <w:rPr>
                <w:rFonts w:hint="eastAsia"/>
                <w:sz w:val="24"/>
              </w:rPr>
              <w:t>施工期间施工场地机械噪声以及人类活动会对周边陆生野生动物产生一定的惊吓，施工占地还将破坏或影响到野生动物的栖息地，由于鸟类和啮齿类动物具有较强的寻找适宜环境的迁徙能力，本工程为已有泄洪闸除险加固工程，工程占地面积小，这些动物会很快转移到施工影响不到的地方，随着施工期结束，施工噪声减少，施工附近区域内野生动物和鸟类群落的种数和数量将得以恢复，不会导致种群消失和影响物种多样性，因此工程施工对陆生野生动物的影响很小。</w:t>
            </w:r>
          </w:p>
          <w:p>
            <w:pPr>
              <w:adjustRightInd w:val="0"/>
              <w:snapToGrid w:val="0"/>
              <w:spacing w:line="360" w:lineRule="auto"/>
              <w:ind w:firstLine="480" w:firstLineChars="200"/>
              <w:rPr>
                <w:rFonts w:hint="eastAsia"/>
                <w:sz w:val="24"/>
              </w:rPr>
            </w:pPr>
            <w:r>
              <w:rPr>
                <w:rFonts w:hint="eastAsia"/>
                <w:sz w:val="24"/>
              </w:rPr>
              <w:t>（4）对黑土地的影响</w:t>
            </w:r>
          </w:p>
          <w:p>
            <w:pPr>
              <w:widowControl/>
              <w:spacing w:line="360" w:lineRule="auto"/>
              <w:ind w:firstLine="480" w:firstLineChars="200"/>
              <w:rPr>
                <w:rFonts w:hint="eastAsia"/>
                <w:sz w:val="24"/>
              </w:rPr>
            </w:pPr>
            <w:r>
              <w:rPr>
                <w:rFonts w:hint="eastAsia"/>
                <w:sz w:val="24"/>
              </w:rPr>
              <w:t>项目实施占地前，将对表土进行剥离，耕地剥离厚度30cm，草地剥离厚度20cm。表土剥离后在生产生活区内进行临时堆置，堆置期间利用编织袋土埂进行拦挡，减少水土流失。待施工结束后，堆存的表土用于复垦及临时占地恢复。本项目属水利类防洪工程，项目实施后，可减少洪水泛滥对沿线耕地的冲刷，减少水土流失，可以保护更多的黑土地。</w:t>
            </w:r>
          </w:p>
          <w:p>
            <w:pPr>
              <w:widowControl/>
              <w:spacing w:line="360" w:lineRule="auto"/>
              <w:rPr>
                <w:b/>
                <w:sz w:val="24"/>
              </w:rPr>
            </w:pPr>
            <w:r>
              <w:rPr>
                <w:rFonts w:hint="eastAsia"/>
                <w:b/>
                <w:sz w:val="24"/>
              </w:rPr>
              <w:t>2、对水生生态的影响</w:t>
            </w:r>
          </w:p>
          <w:p>
            <w:pPr>
              <w:adjustRightInd w:val="0"/>
              <w:snapToGrid w:val="0"/>
              <w:spacing w:line="360" w:lineRule="auto"/>
              <w:ind w:firstLine="480" w:firstLineChars="200"/>
              <w:rPr>
                <w:sz w:val="24"/>
              </w:rPr>
            </w:pPr>
            <w:r>
              <w:rPr>
                <w:rFonts w:hint="eastAsia"/>
                <w:sz w:val="24"/>
              </w:rPr>
              <w:t>本工程涉及土方作业</w:t>
            </w:r>
            <w:r>
              <w:rPr>
                <w:sz w:val="24"/>
              </w:rPr>
              <w:t>，施工期由于</w:t>
            </w:r>
            <w:r>
              <w:rPr>
                <w:rFonts w:hint="eastAsia"/>
                <w:sz w:val="24"/>
              </w:rPr>
              <w:t>土方开挖、填筑、开挖料等临时堆存等工序对项目区</w:t>
            </w:r>
            <w:r>
              <w:rPr>
                <w:sz w:val="24"/>
              </w:rPr>
              <w:t>土地扰动</w:t>
            </w:r>
            <w:r>
              <w:rPr>
                <w:rFonts w:hint="eastAsia"/>
                <w:sz w:val="24"/>
              </w:rPr>
              <w:t>，在雨季或大风天气下容易发生水土流失。在围堰迎水侧松散的土料发生水土流失时，容易进入河流，则可能会导致附近水体悬浮物增加，透明度减小，对鱼类的栖息生存环境和其他水生生物产生一定的不良影响。</w:t>
            </w:r>
          </w:p>
          <w:p>
            <w:pPr>
              <w:adjustRightInd w:val="0"/>
              <w:snapToGrid w:val="0"/>
              <w:spacing w:line="360" w:lineRule="auto"/>
              <w:ind w:firstLine="480" w:firstLineChars="200"/>
              <w:rPr>
                <w:rFonts w:hint="eastAsia"/>
                <w:sz w:val="24"/>
              </w:rPr>
            </w:pPr>
            <w:r>
              <w:rPr>
                <w:rFonts w:hint="eastAsia"/>
                <w:sz w:val="24"/>
              </w:rPr>
              <w:t>施工期间，施工区域附近河段由于施工机械</w:t>
            </w:r>
            <w:r>
              <w:rPr>
                <w:sz w:val="24"/>
              </w:rPr>
              <w:t>噪声增加，鱼群受到惊扰，</w:t>
            </w:r>
            <w:r>
              <w:rPr>
                <w:rFonts w:hint="eastAsia"/>
                <w:sz w:val="24"/>
              </w:rPr>
              <w:t>会影响鱼类觅食</w:t>
            </w:r>
            <w:r>
              <w:rPr>
                <w:sz w:val="24"/>
              </w:rPr>
              <w:t>。</w:t>
            </w:r>
            <w:r>
              <w:rPr>
                <w:rFonts w:hint="eastAsia"/>
                <w:sz w:val="24"/>
              </w:rPr>
              <w:t>但是施工噪声的不利影响会随着施工活动结束而消失，其影响是短暂的。</w:t>
            </w:r>
          </w:p>
          <w:p>
            <w:pPr>
              <w:adjustRightInd w:val="0"/>
              <w:snapToGrid w:val="0"/>
              <w:spacing w:line="360" w:lineRule="auto"/>
              <w:ind w:firstLine="480" w:firstLineChars="200"/>
              <w:rPr>
                <w:rFonts w:hint="eastAsia"/>
                <w:sz w:val="24"/>
              </w:rPr>
            </w:pPr>
            <w:r>
              <w:rPr>
                <w:rFonts w:hint="eastAsia"/>
                <w:sz w:val="24"/>
              </w:rPr>
              <w:t>施工期项目涉水，采用土石围堰导流方式，利用溢流坝与进口段右侧原河道进行施工期导流，围堰将施工场地和河流进行分割，但不阻断呼兰河干流，不影响鱼类觅食洄游。</w:t>
            </w:r>
          </w:p>
          <w:p>
            <w:pPr>
              <w:adjustRightInd w:val="0"/>
              <w:snapToGrid w:val="0"/>
              <w:spacing w:line="360" w:lineRule="auto"/>
              <w:ind w:firstLine="480" w:firstLineChars="200"/>
              <w:rPr>
                <w:rFonts w:hint="eastAsia"/>
                <w:sz w:val="24"/>
              </w:rPr>
            </w:pPr>
            <w:r>
              <w:rPr>
                <w:rFonts w:hint="eastAsia"/>
                <w:sz w:val="24"/>
              </w:rPr>
              <w:t>运行期泄洪闸多数时间为敞开状态，不阻断河流上下游连通性，对河流水文情势的影响有限，格宾石笼护底或护砌属生态型结构，保护河岸河床，减少水土流失，因此，不会对工程所在河段的鱼类“三场一通道”产生影响。</w:t>
            </w:r>
          </w:p>
          <w:p>
            <w:pPr>
              <w:widowControl/>
              <w:spacing w:line="360" w:lineRule="auto"/>
              <w:rPr>
                <w:b/>
                <w:sz w:val="24"/>
              </w:rPr>
            </w:pPr>
            <w:r>
              <w:rPr>
                <w:rFonts w:hint="eastAsia"/>
                <w:b/>
                <w:sz w:val="24"/>
              </w:rPr>
              <w:t>3、对地表水环境的影响</w:t>
            </w:r>
          </w:p>
          <w:p>
            <w:pPr>
              <w:widowControl/>
              <w:spacing w:line="360" w:lineRule="auto"/>
              <w:ind w:firstLine="480" w:firstLineChars="200"/>
              <w:jc w:val="left"/>
              <w:rPr>
                <w:rFonts w:hint="eastAsia"/>
                <w:sz w:val="24"/>
              </w:rPr>
            </w:pPr>
            <w:r>
              <w:rPr>
                <w:rFonts w:hint="eastAsia"/>
                <w:sz w:val="24"/>
              </w:rPr>
              <w:t>施工机械、车辆维修和保养均依托当地机修厂，施工现场不单独布设机修厂，不涉及含油废水。</w:t>
            </w:r>
          </w:p>
          <w:p>
            <w:pPr>
              <w:widowControl/>
              <w:spacing w:line="360" w:lineRule="auto"/>
              <w:ind w:firstLine="480" w:firstLineChars="200"/>
              <w:jc w:val="left"/>
              <w:rPr>
                <w:sz w:val="24"/>
              </w:rPr>
            </w:pPr>
            <w:r>
              <w:rPr>
                <w:rFonts w:hint="eastAsia"/>
                <w:sz w:val="24"/>
              </w:rPr>
              <w:t>对地表水影响的污染源主要为临时生活区内产生的生活污水和临时施工区砼拌和系统产生的混凝土拌和及养护废水。</w:t>
            </w:r>
          </w:p>
          <w:p>
            <w:pPr>
              <w:widowControl/>
              <w:spacing w:line="360" w:lineRule="auto"/>
              <w:ind w:firstLine="480" w:firstLineChars="200"/>
              <w:jc w:val="left"/>
              <w:rPr>
                <w:sz w:val="24"/>
              </w:rPr>
            </w:pPr>
            <w:r>
              <w:rPr>
                <w:rFonts w:hint="eastAsia"/>
                <w:sz w:val="24"/>
              </w:rPr>
              <w:t>（1）混凝土拌和及养护废水</w:t>
            </w:r>
          </w:p>
          <w:p>
            <w:pPr>
              <w:widowControl/>
              <w:spacing w:line="360" w:lineRule="auto"/>
              <w:ind w:firstLine="480" w:firstLineChars="200"/>
              <w:jc w:val="left"/>
              <w:rPr>
                <w:sz w:val="24"/>
              </w:rPr>
            </w:pPr>
            <w:r>
              <w:rPr>
                <w:rFonts w:hint="eastAsia"/>
                <w:sz w:val="24"/>
              </w:rPr>
              <w:t>混凝土拌和及养护废水产自混凝土拌和过程和混凝土滚筒冲洗过程，间歇排水、水量不大，废水中主要污染物为SS及pH值，pH值11～12，SS浓度约2000～5000mg/L。根据施工组织设计，混凝土拌和考虑每日3班制生产，每天生产时间约18小时，参考类似项目经验，每班次冲洗2次，单次冲洗用水量2m</w:t>
            </w:r>
            <w:r>
              <w:rPr>
                <w:rFonts w:hint="eastAsia"/>
                <w:sz w:val="24"/>
                <w:vertAlign w:val="superscript"/>
              </w:rPr>
              <w:t>3</w:t>
            </w:r>
            <w:r>
              <w:rPr>
                <w:rFonts w:hint="eastAsia"/>
                <w:sz w:val="24"/>
              </w:rPr>
              <w:t>，混凝土拌和冲洗废水产生系数为0.9。经计算，高峰期单台班混凝土拌和及养护废水产生量约为3.6m</w:t>
            </w:r>
            <w:r>
              <w:rPr>
                <w:rFonts w:hint="eastAsia"/>
                <w:sz w:val="24"/>
                <w:vertAlign w:val="superscript"/>
              </w:rPr>
              <w:t>3</w:t>
            </w:r>
            <w:r>
              <w:rPr>
                <w:rFonts w:hint="eastAsia"/>
                <w:sz w:val="24"/>
              </w:rPr>
              <w:t>，高峰期每天按3班制则混凝土拌和及养护废水产生量约为10.8m</w:t>
            </w:r>
            <w:r>
              <w:rPr>
                <w:rFonts w:hint="eastAsia"/>
                <w:sz w:val="24"/>
                <w:vertAlign w:val="superscript"/>
              </w:rPr>
              <w:t>3</w:t>
            </w:r>
            <w:r>
              <w:rPr>
                <w:rFonts w:hint="eastAsia"/>
                <w:sz w:val="24"/>
              </w:rPr>
              <w:t>，即10.8m</w:t>
            </w:r>
            <w:r>
              <w:rPr>
                <w:rFonts w:hint="eastAsia"/>
                <w:sz w:val="24"/>
                <w:vertAlign w:val="superscript"/>
              </w:rPr>
              <w:t>3</w:t>
            </w:r>
            <w:r>
              <w:rPr>
                <w:rFonts w:hint="eastAsia"/>
                <w:sz w:val="24"/>
              </w:rPr>
              <w:t>/d。</w:t>
            </w:r>
            <w:r>
              <w:rPr>
                <w:sz w:val="24"/>
              </w:rPr>
              <w:t>如果</w:t>
            </w:r>
            <w:r>
              <w:rPr>
                <w:rFonts w:hint="eastAsia"/>
                <w:sz w:val="24"/>
              </w:rPr>
              <w:t>混凝土拌和及养护废水</w:t>
            </w:r>
            <w:r>
              <w:rPr>
                <w:sz w:val="24"/>
              </w:rPr>
              <w:t>随意排放，将对周围土地产生不利影响，如</w:t>
            </w:r>
            <w:r>
              <w:rPr>
                <w:rFonts w:hint="eastAsia"/>
                <w:sz w:val="24"/>
              </w:rPr>
              <w:t>果</w:t>
            </w:r>
            <w:r>
              <w:rPr>
                <w:sz w:val="24"/>
              </w:rPr>
              <w:t>就近排入河流，将对河流水质产生不利影响。</w:t>
            </w:r>
          </w:p>
          <w:p>
            <w:pPr>
              <w:widowControl/>
              <w:spacing w:line="360" w:lineRule="auto"/>
              <w:ind w:firstLine="480" w:firstLineChars="200"/>
              <w:jc w:val="left"/>
              <w:rPr>
                <w:rFonts w:hint="eastAsia"/>
                <w:sz w:val="24"/>
              </w:rPr>
            </w:pPr>
            <w:r>
              <w:rPr>
                <w:rFonts w:hint="eastAsia"/>
                <w:sz w:val="24"/>
              </w:rPr>
              <w:t>（2）基坑排水</w:t>
            </w:r>
          </w:p>
          <w:p>
            <w:pPr>
              <w:widowControl/>
              <w:spacing w:line="360" w:lineRule="auto"/>
              <w:ind w:firstLine="480" w:firstLineChars="200"/>
              <w:jc w:val="left"/>
              <w:rPr>
                <w:rFonts w:hint="eastAsia"/>
                <w:sz w:val="24"/>
              </w:rPr>
            </w:pPr>
            <w:r>
              <w:rPr>
                <w:rFonts w:hint="eastAsia"/>
                <w:sz w:val="24"/>
              </w:rPr>
              <w:t>基坑排水分为初期排水和经常性排水。其中，基坑初期排水主要为围堰闭气后基坑集水、抽回过程中围堰及基础渗水、绕堰渗水、施工弃水及降雨组成，该部分水污染物主要为SS，浓度比河水略高，无其他污染因子；基坑经常性排水主要来自混凝土养护、围堰渗水及雨水，并有少量的基坑土石开挖、钻探灌浆废水，该部分水SS&gt;2000mg/L、pH值8～12，若不经处理直接排放入河流，将导致水体pH值升高、水体浑浊。</w:t>
            </w:r>
          </w:p>
          <w:p>
            <w:pPr>
              <w:widowControl/>
              <w:spacing w:line="360" w:lineRule="auto"/>
              <w:ind w:firstLine="480" w:firstLineChars="200"/>
              <w:jc w:val="left"/>
              <w:rPr>
                <w:rFonts w:hint="eastAsia"/>
                <w:sz w:val="24"/>
              </w:rPr>
            </w:pPr>
            <w:r>
              <w:rPr>
                <w:rFonts w:hint="eastAsia"/>
                <w:sz w:val="24"/>
              </w:rPr>
              <w:t>（3）生活污水</w:t>
            </w:r>
          </w:p>
          <w:p>
            <w:pPr>
              <w:widowControl/>
              <w:spacing w:line="360" w:lineRule="auto"/>
              <w:ind w:firstLine="480" w:firstLineChars="200"/>
              <w:rPr>
                <w:sz w:val="24"/>
              </w:rPr>
            </w:pPr>
            <w:r>
              <w:rPr>
                <w:rFonts w:hint="eastAsia"/>
                <w:sz w:val="24"/>
              </w:rPr>
              <w:t>根据施工总体布置，本项目施工期拟设置1处临时生活区，施工期高峰人数为36人。</w:t>
            </w:r>
            <w:r>
              <w:rPr>
                <w:sz w:val="24"/>
              </w:rPr>
              <w:t>参照</w:t>
            </w:r>
            <w:r>
              <w:rPr>
                <w:rFonts w:hint="eastAsia"/>
                <w:sz w:val="24"/>
              </w:rPr>
              <w:t>《黑龙江省地方标准〈用水定额〉（DB23/T727-2021）》</w:t>
            </w:r>
            <w:r>
              <w:rPr>
                <w:sz w:val="24"/>
              </w:rPr>
              <w:t>中生活用水标准，施工人员平均用水量按</w:t>
            </w:r>
            <w:r>
              <w:rPr>
                <w:rFonts w:hint="eastAsia"/>
                <w:sz w:val="24"/>
              </w:rPr>
              <w:t>60</w:t>
            </w:r>
            <w:r>
              <w:rPr>
                <w:sz w:val="24"/>
              </w:rPr>
              <w:t>L/人·d计，污水排放系数按0.8计算，则施工期</w:t>
            </w:r>
            <w:r>
              <w:rPr>
                <w:rFonts w:hint="eastAsia"/>
                <w:sz w:val="24"/>
              </w:rPr>
              <w:t>临时</w:t>
            </w:r>
            <w:r>
              <w:rPr>
                <w:sz w:val="24"/>
              </w:rPr>
              <w:t>生活区生活污水排放量</w:t>
            </w:r>
            <w:r>
              <w:rPr>
                <w:rFonts w:hint="eastAsia"/>
                <w:sz w:val="24"/>
              </w:rPr>
              <w:t>约</w:t>
            </w:r>
            <w:r>
              <w:rPr>
                <w:sz w:val="24"/>
              </w:rPr>
              <w:t>为</w:t>
            </w:r>
            <w:r>
              <w:rPr>
                <w:rFonts w:hint="eastAsia"/>
                <w:sz w:val="24"/>
              </w:rPr>
              <w:t>1.73</w:t>
            </w:r>
            <w:r>
              <w:rPr>
                <w:sz w:val="24"/>
              </w:rPr>
              <w:t>m</w:t>
            </w:r>
            <w:r>
              <w:rPr>
                <w:sz w:val="24"/>
                <w:vertAlign w:val="superscript"/>
              </w:rPr>
              <w:t>3</w:t>
            </w:r>
            <w:r>
              <w:rPr>
                <w:sz w:val="24"/>
              </w:rPr>
              <w:t>/d。</w:t>
            </w:r>
            <w:r>
              <w:rPr>
                <w:rFonts w:hint="eastAsia"/>
                <w:sz w:val="24"/>
              </w:rPr>
              <w:t>生活污水</w:t>
            </w:r>
            <w:r>
              <w:rPr>
                <w:sz w:val="24"/>
              </w:rPr>
              <w:t>主要污染物</w:t>
            </w:r>
            <w:r>
              <w:rPr>
                <w:rFonts w:hint="eastAsia"/>
                <w:sz w:val="24"/>
              </w:rPr>
              <w:t>COD、SS、氨氮，浓度分别为300mg/L、200mg/L、50mg/L。如果这些生活污水未经处理随意排放，进入河流，将使得临时生活区周边河流的COD、SS、氨氮的浓度升高，造成临时生活区周边水环境的污染。</w:t>
            </w:r>
          </w:p>
          <w:p>
            <w:pPr>
              <w:widowControl/>
              <w:spacing w:line="360" w:lineRule="auto"/>
              <w:ind w:firstLine="480" w:firstLineChars="200"/>
              <w:rPr>
                <w:rFonts w:hint="eastAsia"/>
                <w:sz w:val="24"/>
              </w:rPr>
            </w:pPr>
            <w:r>
              <w:rPr>
                <w:rFonts w:hint="eastAsia"/>
                <w:sz w:val="24"/>
              </w:rPr>
              <w:t>为处理生活污水，需在临时生活区设置环保型防渗旱厕及化粪池，污水经过化粪池处理后，用于周边农田灌溉；防渗旱厕定时消毒、挖掏后用于周边农田施肥。在采取生活污水处理措施后，对地表水体基本不产生影响。工程完工后本身不产生新的污染。</w:t>
            </w:r>
          </w:p>
          <w:p>
            <w:pPr>
              <w:widowControl/>
              <w:spacing w:line="360" w:lineRule="auto"/>
              <w:ind w:firstLine="420"/>
              <w:jc w:val="left"/>
              <w:rPr>
                <w:rFonts w:hint="eastAsia"/>
                <w:sz w:val="24"/>
              </w:rPr>
            </w:pPr>
            <w:r>
              <w:rPr>
                <w:rFonts w:hint="eastAsia"/>
                <w:sz w:val="24"/>
              </w:rPr>
              <w:t>综上，在严格落实施工期水环境保护措施的基础上，施工期项目建设对地表水环境影响较小。</w:t>
            </w:r>
          </w:p>
          <w:p>
            <w:pPr>
              <w:widowControl/>
              <w:spacing w:line="360" w:lineRule="auto"/>
              <w:rPr>
                <w:b/>
                <w:sz w:val="24"/>
              </w:rPr>
            </w:pPr>
            <w:r>
              <w:rPr>
                <w:rFonts w:hint="eastAsia"/>
                <w:b/>
                <w:sz w:val="24"/>
              </w:rPr>
              <w:t>4、对地下水环境的影响</w:t>
            </w:r>
          </w:p>
          <w:p>
            <w:pPr>
              <w:widowControl/>
              <w:spacing w:line="360" w:lineRule="auto"/>
              <w:ind w:firstLine="420"/>
              <w:rPr>
                <w:rFonts w:hint="eastAsia"/>
                <w:sz w:val="24"/>
              </w:rPr>
            </w:pPr>
            <w:r>
              <w:rPr>
                <w:rFonts w:hint="eastAsia"/>
                <w:sz w:val="24"/>
              </w:rPr>
              <w:t>施工生产废水主要包括混凝土拌和及养护废水、基坑排水。施工生产废水主要污染物为少量悬浮物及pH值，不含重金属污染物。施工期生活污水排入环保型防渗旱厕及化粪池，定期清掏外运。在对施工生产废水和生活污水采取合理的处理措施后，本工程在施工期间不会对地下水水质产生影响。</w:t>
            </w:r>
          </w:p>
          <w:p>
            <w:pPr>
              <w:widowControl/>
              <w:spacing w:line="360" w:lineRule="auto"/>
              <w:rPr>
                <w:b/>
                <w:sz w:val="24"/>
              </w:rPr>
            </w:pPr>
            <w:r>
              <w:rPr>
                <w:rFonts w:hint="eastAsia"/>
                <w:b/>
                <w:sz w:val="24"/>
              </w:rPr>
              <w:t>5、对环境空气的影响</w:t>
            </w:r>
          </w:p>
          <w:p>
            <w:pPr>
              <w:adjustRightInd w:val="0"/>
              <w:snapToGrid w:val="0"/>
              <w:spacing w:line="360" w:lineRule="auto"/>
              <w:ind w:firstLine="480" w:firstLineChars="200"/>
              <w:rPr>
                <w:rFonts w:hint="eastAsia"/>
                <w:sz w:val="24"/>
              </w:rPr>
            </w:pPr>
            <w:r>
              <w:rPr>
                <w:sz w:val="24"/>
              </w:rPr>
              <w:t>施工期对大气环境产生的影响主要来自</w:t>
            </w:r>
            <w:r>
              <w:rPr>
                <w:rFonts w:hint="eastAsia"/>
                <w:sz w:val="24"/>
              </w:rPr>
              <w:t>土方开挖、填筑</w:t>
            </w:r>
            <w:r>
              <w:rPr>
                <w:sz w:val="24"/>
              </w:rPr>
              <w:t>等施工作业过程中产生的粉尘</w:t>
            </w:r>
            <w:r>
              <w:rPr>
                <w:rFonts w:hint="eastAsia"/>
                <w:sz w:val="24"/>
              </w:rPr>
              <w:t>、扬尘</w:t>
            </w:r>
            <w:r>
              <w:rPr>
                <w:sz w:val="24"/>
              </w:rPr>
              <w:t>及运输过程中产生的二次扬尘，其次是</w:t>
            </w:r>
            <w:r>
              <w:rPr>
                <w:rFonts w:hint="eastAsia"/>
                <w:sz w:val="24"/>
              </w:rPr>
              <w:t>运输车辆</w:t>
            </w:r>
            <w:r>
              <w:rPr>
                <w:sz w:val="24"/>
              </w:rPr>
              <w:t>和</w:t>
            </w:r>
            <w:r>
              <w:rPr>
                <w:rFonts w:hint="eastAsia"/>
                <w:sz w:val="24"/>
              </w:rPr>
              <w:t>施工</w:t>
            </w:r>
            <w:r>
              <w:rPr>
                <w:sz w:val="24"/>
              </w:rPr>
              <w:t>机械尾气。</w:t>
            </w:r>
          </w:p>
          <w:p>
            <w:pPr>
              <w:adjustRightInd w:val="0"/>
              <w:snapToGrid w:val="0"/>
              <w:spacing w:line="360" w:lineRule="auto"/>
              <w:ind w:firstLine="480" w:firstLineChars="200"/>
              <w:rPr>
                <w:rFonts w:hint="eastAsia"/>
                <w:sz w:val="24"/>
              </w:rPr>
            </w:pPr>
            <w:r>
              <w:rPr>
                <w:rFonts w:hint="eastAsia"/>
                <w:sz w:val="24"/>
              </w:rPr>
              <w:t>（1）施工扬尘</w:t>
            </w:r>
          </w:p>
          <w:p>
            <w:pPr>
              <w:adjustRightInd w:val="0"/>
              <w:snapToGrid w:val="0"/>
              <w:spacing w:line="360" w:lineRule="auto"/>
              <w:ind w:firstLine="480" w:firstLineChars="200"/>
              <w:rPr>
                <w:rFonts w:hint="eastAsia"/>
                <w:sz w:val="24"/>
              </w:rPr>
            </w:pPr>
            <w:r>
              <w:rPr>
                <w:rFonts w:hint="eastAsia"/>
                <w:sz w:val="24"/>
              </w:rPr>
              <w:t>施工过程中产生的扬尘，主要来源于材料装卸、混凝土搅拌、土方开挖及填筑等，对施工区及周边150m内有一定影响，但因其沉降衰减很快，对施工场外环境和人群影响较小，所以只要施工中采取必要的措施，如特殊天气采用湿法施工及敏感路段洒水降尘等，施工扬尘对环境的影响不大。</w:t>
            </w:r>
          </w:p>
          <w:p>
            <w:pPr>
              <w:adjustRightInd w:val="0"/>
              <w:snapToGrid w:val="0"/>
              <w:spacing w:line="360" w:lineRule="auto"/>
              <w:ind w:firstLine="480" w:firstLineChars="200"/>
              <w:rPr>
                <w:rFonts w:hint="eastAsia"/>
                <w:sz w:val="24"/>
              </w:rPr>
            </w:pPr>
            <w:r>
              <w:rPr>
                <w:rFonts w:hint="eastAsia"/>
                <w:sz w:val="24"/>
              </w:rPr>
              <w:t>（2）交通运输扬尘</w:t>
            </w:r>
          </w:p>
          <w:p>
            <w:pPr>
              <w:adjustRightInd w:val="0"/>
              <w:snapToGrid w:val="0"/>
              <w:spacing w:line="360" w:lineRule="auto"/>
              <w:ind w:firstLine="480" w:firstLineChars="200"/>
              <w:rPr>
                <w:rFonts w:hint="eastAsia"/>
                <w:sz w:val="24"/>
              </w:rPr>
            </w:pPr>
            <w:r>
              <w:rPr>
                <w:rFonts w:hint="eastAsia"/>
                <w:sz w:val="24"/>
              </w:rPr>
              <w:t>本工程施工过程中物料及临时堆土运输环节将产生一定量的道路扬尘，扬尘在道路两侧扩散。但由于交通运输扬尘呈线形，且时间较短，采取定期对道路两侧村屯洒水降尘，车辆路过村屯时减速慢行等措施，交通运输扬尘对环境影响不大。</w:t>
            </w:r>
          </w:p>
          <w:p>
            <w:pPr>
              <w:adjustRightInd w:val="0"/>
              <w:snapToGrid w:val="0"/>
              <w:spacing w:line="360" w:lineRule="auto"/>
              <w:ind w:firstLine="480" w:firstLineChars="200"/>
              <w:rPr>
                <w:rFonts w:hint="eastAsia"/>
                <w:sz w:val="24"/>
              </w:rPr>
            </w:pPr>
            <w:r>
              <w:rPr>
                <w:rFonts w:hint="eastAsia"/>
                <w:sz w:val="24"/>
              </w:rPr>
              <w:t>（3）施工机械燃油废气</w:t>
            </w:r>
          </w:p>
          <w:p>
            <w:pPr>
              <w:adjustRightInd w:val="0"/>
              <w:snapToGrid w:val="0"/>
              <w:spacing w:line="360" w:lineRule="auto"/>
              <w:ind w:firstLine="480" w:firstLineChars="200"/>
              <w:rPr>
                <w:rFonts w:hint="eastAsia"/>
                <w:sz w:val="24"/>
              </w:rPr>
            </w:pPr>
            <w:r>
              <w:rPr>
                <w:rFonts w:hint="eastAsia"/>
                <w:sz w:val="24"/>
              </w:rPr>
              <w:t>施工机械将产生含有总碳氢化合物、一氧化碳和氮氧化物等污染物的废气，废气仅对施工区及交通道路两侧等局部地区的环境空气质量有短暂的不利影响，不会对大范围的环境空气质量产生不利影响。另外机动车辆运行过程中，所排放的尾气是流动污染源，虽然影响面大，但由于不是集中的大量排放，所以对周围环境和人群影响不大。</w:t>
            </w:r>
          </w:p>
          <w:p>
            <w:pPr>
              <w:adjustRightInd w:val="0"/>
              <w:snapToGrid w:val="0"/>
              <w:spacing w:line="360" w:lineRule="auto"/>
              <w:ind w:firstLine="480" w:firstLineChars="200"/>
              <w:rPr>
                <w:rFonts w:hint="eastAsia"/>
                <w:bCs/>
                <w:sz w:val="24"/>
              </w:rPr>
            </w:pPr>
            <w:r>
              <w:rPr>
                <w:rFonts w:hint="eastAsia"/>
                <w:sz w:val="24"/>
              </w:rPr>
              <w:t>本工程施工区及200m范围内没有村屯等居民点分布。</w:t>
            </w:r>
            <w:r>
              <w:rPr>
                <w:rFonts w:hint="eastAsia"/>
                <w:bCs/>
                <w:sz w:val="24"/>
              </w:rPr>
              <w:t>施工扬尘、</w:t>
            </w:r>
            <w:r>
              <w:rPr>
                <w:rFonts w:hint="eastAsia"/>
                <w:sz w:val="24"/>
              </w:rPr>
              <w:t>交通运输扬尘、施工机械燃油废气及</w:t>
            </w:r>
            <w:r>
              <w:rPr>
                <w:rFonts w:hint="eastAsia"/>
                <w:bCs/>
                <w:sz w:val="24"/>
              </w:rPr>
              <w:t>运输车辆尾气等对周围环境空气的影响是短暂的，随着施工活动结束，这种不利影响会随之消失。</w:t>
            </w:r>
          </w:p>
          <w:p>
            <w:pPr>
              <w:widowControl/>
              <w:spacing w:line="360" w:lineRule="auto"/>
              <w:rPr>
                <w:b/>
                <w:sz w:val="24"/>
              </w:rPr>
            </w:pPr>
            <w:r>
              <w:rPr>
                <w:rFonts w:hint="eastAsia"/>
                <w:b/>
                <w:sz w:val="24"/>
              </w:rPr>
              <w:t>6、对声环境的影响</w:t>
            </w:r>
          </w:p>
          <w:p>
            <w:pPr>
              <w:adjustRightInd w:val="0"/>
              <w:snapToGrid w:val="0"/>
              <w:spacing w:line="360" w:lineRule="auto"/>
              <w:ind w:firstLine="480" w:firstLineChars="200"/>
              <w:rPr>
                <w:sz w:val="24"/>
              </w:rPr>
            </w:pPr>
            <w:r>
              <w:rPr>
                <w:rFonts w:hint="eastAsia"/>
                <w:sz w:val="24"/>
              </w:rPr>
              <w:t>（1）施工机械噪声影响预测</w:t>
            </w:r>
          </w:p>
          <w:p>
            <w:pPr>
              <w:adjustRightInd w:val="0"/>
              <w:snapToGrid w:val="0"/>
              <w:spacing w:line="360" w:lineRule="auto"/>
              <w:ind w:firstLine="480" w:firstLineChars="200"/>
              <w:rPr>
                <w:sz w:val="24"/>
              </w:rPr>
            </w:pPr>
            <w:r>
              <w:rPr>
                <w:rFonts w:hint="eastAsia"/>
                <w:sz w:val="24"/>
              </w:rPr>
              <w:t>1）噪声预测模式</w:t>
            </w:r>
          </w:p>
          <w:p>
            <w:pPr>
              <w:adjustRightInd w:val="0"/>
              <w:snapToGrid w:val="0"/>
              <w:spacing w:line="360" w:lineRule="auto"/>
              <w:ind w:firstLine="480" w:firstLineChars="200"/>
              <w:rPr>
                <w:sz w:val="24"/>
              </w:rPr>
            </w:pPr>
            <w:r>
              <w:rPr>
                <w:rFonts w:hint="eastAsia"/>
                <w:sz w:val="24"/>
              </w:rPr>
              <w:t>机械作业所产生的噪声可近似为点声源，采用点声源的几何发散衰减公式计算不同范围内的噪声强度，预测施工机械噪声对周边声环境敏感点的影响。</w:t>
            </w:r>
          </w:p>
          <w:p>
            <w:pPr>
              <w:adjustRightInd w:val="0"/>
              <w:snapToGrid w:val="0"/>
              <w:spacing w:line="360" w:lineRule="auto"/>
              <w:ind w:firstLine="480" w:firstLineChars="200"/>
              <w:rPr>
                <w:sz w:val="24"/>
              </w:rPr>
            </w:pPr>
            <w:r>
              <w:rPr>
                <w:rFonts w:hint="eastAsia"/>
                <w:sz w:val="24"/>
              </w:rPr>
              <w:t>2）施工机械噪声预测结果及评价</w:t>
            </w:r>
          </w:p>
          <w:p>
            <w:pPr>
              <w:adjustRightInd w:val="0"/>
              <w:snapToGrid w:val="0"/>
              <w:spacing w:line="360" w:lineRule="auto"/>
              <w:ind w:firstLine="480" w:firstLineChars="200"/>
              <w:rPr>
                <w:rFonts w:hint="eastAsia"/>
                <w:sz w:val="24"/>
              </w:rPr>
            </w:pPr>
            <w:r>
              <w:rPr>
                <w:rFonts w:hint="eastAsia"/>
                <w:sz w:val="24"/>
              </w:rPr>
              <w:t>施工机械噪声源主要来自施工机械的开挖、运输和填筑等，施工阶段施工机械主要包括挖掘机、装载机、挖掘机和混凝土搅拌机。在未采取任何降噪措施的情况下，各机械施工噪声经过衰减后在不同距离处的噪声预测值见表4-1。其中施工机械噪声源强参照《环境噪声与振动控制工程技术导则》中附录A。</w:t>
            </w:r>
          </w:p>
          <w:p>
            <w:pPr>
              <w:adjustRightInd w:val="0"/>
              <w:snapToGrid w:val="0"/>
              <w:spacing w:line="276" w:lineRule="auto"/>
              <w:jc w:val="center"/>
              <w:rPr>
                <w:b/>
                <w:sz w:val="24"/>
              </w:rPr>
            </w:pPr>
            <w:r>
              <w:rPr>
                <w:b/>
                <w:sz w:val="24"/>
              </w:rPr>
              <w:t>表</w:t>
            </w:r>
            <w:r>
              <w:rPr>
                <w:rFonts w:hint="eastAsia"/>
                <w:b/>
                <w:sz w:val="24"/>
              </w:rPr>
              <w:t>4-1  施工机械不同距离处噪声值表      单位：dB（A）</w:t>
            </w:r>
          </w:p>
          <w:tbl>
            <w:tblPr>
              <w:tblStyle w:val="14"/>
              <w:tblW w:w="48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158"/>
              <w:gridCol w:w="538"/>
              <w:gridCol w:w="656"/>
              <w:gridCol w:w="654"/>
              <w:gridCol w:w="654"/>
              <w:gridCol w:w="773"/>
              <w:gridCol w:w="773"/>
              <w:gridCol w:w="774"/>
              <w:gridCol w:w="774"/>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9" w:type="pct"/>
                  <w:vMerge w:val="restart"/>
                  <w:tcBorders>
                    <w:left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序号</w:t>
                  </w:r>
                </w:p>
              </w:tc>
              <w:tc>
                <w:tcPr>
                  <w:tcW w:w="739" w:type="pct"/>
                  <w:vMerge w:val="restart"/>
                  <w:tcBorders>
                    <w:left w:val="nil"/>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设备名称</w:t>
                  </w:r>
                </w:p>
              </w:tc>
              <w:tc>
                <w:tcPr>
                  <w:tcW w:w="3962" w:type="pct"/>
                  <w:gridSpan w:val="9"/>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预测噪声级dB（A）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9" w:type="pct"/>
                  <w:vMerge w:val="continue"/>
                  <w:tcBorders>
                    <w:top w:val="single" w:color="auto" w:sz="4" w:space="0"/>
                    <w:left w:val="single" w:color="auto" w:sz="4" w:space="0"/>
                    <w:bottom w:val="single" w:color="auto" w:sz="4" w:space="0"/>
                    <w:right w:val="single" w:color="auto" w:sz="4" w:space="0"/>
                  </w:tcBorders>
                  <w:noWrap w:val="0"/>
                  <w:vAlign w:val="center"/>
                </w:tcPr>
                <w:p>
                  <w:pPr>
                    <w:pStyle w:val="24"/>
                    <w:jc w:val="center"/>
                    <w:rPr>
                      <w:rFonts w:ascii="Times New Roman" w:hAnsi="Times New Roman"/>
                      <w:kern w:val="2"/>
                      <w:sz w:val="18"/>
                      <w:szCs w:val="18"/>
                    </w:rPr>
                  </w:pPr>
                </w:p>
              </w:tc>
              <w:tc>
                <w:tcPr>
                  <w:tcW w:w="739" w:type="pct"/>
                  <w:vMerge w:val="continue"/>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p>
              </w:tc>
              <w:tc>
                <w:tcPr>
                  <w:tcW w:w="34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5m</w:t>
                  </w:r>
                </w:p>
              </w:tc>
              <w:tc>
                <w:tcPr>
                  <w:tcW w:w="419"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20m</w:t>
                  </w:r>
                </w:p>
              </w:tc>
              <w:tc>
                <w:tcPr>
                  <w:tcW w:w="418"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40m</w:t>
                  </w:r>
                </w:p>
              </w:tc>
              <w:tc>
                <w:tcPr>
                  <w:tcW w:w="418"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60m</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100m</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200m</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hint="eastAsia" w:ascii="Times New Roman" w:hAnsi="Times New Roman"/>
                      <w:kern w:val="2"/>
                      <w:sz w:val="18"/>
                      <w:szCs w:val="18"/>
                    </w:rPr>
                    <w:t>28</w:t>
                  </w:r>
                  <w:r>
                    <w:rPr>
                      <w:rFonts w:ascii="Times New Roman" w:hAnsi="Times New Roman"/>
                      <w:kern w:val="2"/>
                      <w:sz w:val="18"/>
                      <w:szCs w:val="18"/>
                    </w:rPr>
                    <w:t>0m</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400m</w:t>
                  </w:r>
                </w:p>
              </w:tc>
              <w:tc>
                <w:tcPr>
                  <w:tcW w:w="387"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op w:val="single" w:color="auto" w:sz="4" w:space="0"/>
                    <w:left w:val="single" w:color="auto" w:sz="4" w:space="0"/>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1</w:t>
                  </w:r>
                </w:p>
              </w:tc>
              <w:tc>
                <w:tcPr>
                  <w:tcW w:w="739"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推土机</w:t>
                  </w:r>
                </w:p>
              </w:tc>
              <w:tc>
                <w:tcPr>
                  <w:tcW w:w="34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86</w:t>
                  </w:r>
                </w:p>
              </w:tc>
              <w:tc>
                <w:tcPr>
                  <w:tcW w:w="419"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74</w:t>
                  </w:r>
                </w:p>
              </w:tc>
              <w:tc>
                <w:tcPr>
                  <w:tcW w:w="418"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68</w:t>
                  </w:r>
                </w:p>
              </w:tc>
              <w:tc>
                <w:tcPr>
                  <w:tcW w:w="418"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64</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60</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54</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50</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48</w:t>
                  </w:r>
                </w:p>
              </w:tc>
              <w:tc>
                <w:tcPr>
                  <w:tcW w:w="387"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op w:val="single" w:color="auto" w:sz="4" w:space="0"/>
                    <w:left w:val="single" w:color="auto" w:sz="4" w:space="0"/>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2</w:t>
                  </w:r>
                </w:p>
              </w:tc>
              <w:tc>
                <w:tcPr>
                  <w:tcW w:w="739"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装载机</w:t>
                  </w:r>
                </w:p>
              </w:tc>
              <w:tc>
                <w:tcPr>
                  <w:tcW w:w="34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90</w:t>
                  </w:r>
                </w:p>
              </w:tc>
              <w:tc>
                <w:tcPr>
                  <w:tcW w:w="419"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78</w:t>
                  </w:r>
                </w:p>
              </w:tc>
              <w:tc>
                <w:tcPr>
                  <w:tcW w:w="418"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72</w:t>
                  </w:r>
                </w:p>
              </w:tc>
              <w:tc>
                <w:tcPr>
                  <w:tcW w:w="418"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68</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64</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58</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54</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52</w:t>
                  </w:r>
                </w:p>
              </w:tc>
              <w:tc>
                <w:tcPr>
                  <w:tcW w:w="387"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op w:val="single" w:color="auto" w:sz="4" w:space="0"/>
                    <w:left w:val="single" w:color="auto" w:sz="4" w:space="0"/>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3</w:t>
                  </w:r>
                </w:p>
              </w:tc>
              <w:tc>
                <w:tcPr>
                  <w:tcW w:w="739"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挖掘机</w:t>
                  </w:r>
                </w:p>
              </w:tc>
              <w:tc>
                <w:tcPr>
                  <w:tcW w:w="34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84</w:t>
                  </w:r>
                </w:p>
              </w:tc>
              <w:tc>
                <w:tcPr>
                  <w:tcW w:w="419"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72</w:t>
                  </w:r>
                </w:p>
              </w:tc>
              <w:tc>
                <w:tcPr>
                  <w:tcW w:w="418"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66</w:t>
                  </w:r>
                </w:p>
              </w:tc>
              <w:tc>
                <w:tcPr>
                  <w:tcW w:w="418"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62</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58</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52</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48</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46</w:t>
                  </w:r>
                </w:p>
              </w:tc>
              <w:tc>
                <w:tcPr>
                  <w:tcW w:w="387"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tcBorders>
                    <w:top w:val="single" w:color="auto" w:sz="4" w:space="0"/>
                    <w:left w:val="single" w:color="auto" w:sz="4" w:space="0"/>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4</w:t>
                  </w:r>
                </w:p>
              </w:tc>
              <w:tc>
                <w:tcPr>
                  <w:tcW w:w="739"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混凝土搅拌机</w:t>
                  </w:r>
                </w:p>
              </w:tc>
              <w:tc>
                <w:tcPr>
                  <w:tcW w:w="34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76</w:t>
                  </w:r>
                </w:p>
              </w:tc>
              <w:tc>
                <w:tcPr>
                  <w:tcW w:w="419"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64</w:t>
                  </w:r>
                </w:p>
              </w:tc>
              <w:tc>
                <w:tcPr>
                  <w:tcW w:w="418"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58</w:t>
                  </w:r>
                </w:p>
              </w:tc>
              <w:tc>
                <w:tcPr>
                  <w:tcW w:w="418"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54</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50</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44</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40</w:t>
                  </w:r>
                </w:p>
              </w:tc>
              <w:tc>
                <w:tcPr>
                  <w:tcW w:w="494"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38</w:t>
                  </w:r>
                </w:p>
              </w:tc>
              <w:tc>
                <w:tcPr>
                  <w:tcW w:w="387" w:type="pct"/>
                  <w:tcBorders>
                    <w:top w:val="single" w:color="auto" w:sz="4" w:space="0"/>
                    <w:left w:val="nil"/>
                    <w:bottom w:val="single" w:color="auto" w:sz="4" w:space="0"/>
                    <w:right w:val="single" w:color="auto" w:sz="4" w:space="0"/>
                  </w:tcBorders>
                  <w:noWrap w:val="0"/>
                  <w:vAlign w:val="center"/>
                </w:tcPr>
                <w:p>
                  <w:pPr>
                    <w:pStyle w:val="24"/>
                    <w:jc w:val="center"/>
                    <w:rPr>
                      <w:rFonts w:ascii="Times New Roman" w:hAnsi="Times New Roman"/>
                      <w:kern w:val="2"/>
                      <w:sz w:val="18"/>
                      <w:szCs w:val="18"/>
                    </w:rPr>
                  </w:pPr>
                  <w:r>
                    <w:rPr>
                      <w:rFonts w:ascii="Times New Roman" w:hAnsi="Times New Roman"/>
                      <w:kern w:val="2"/>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1"/>
                  <w:tcBorders>
                    <w:top w:val="single" w:color="auto" w:sz="4" w:space="0"/>
                    <w:left w:val="single" w:color="auto" w:sz="4" w:space="0"/>
                    <w:bottom w:val="single" w:color="auto" w:sz="4" w:space="0"/>
                    <w:right w:val="single" w:color="auto" w:sz="4" w:space="0"/>
                  </w:tcBorders>
                  <w:noWrap w:val="0"/>
                  <w:vAlign w:val="center"/>
                </w:tcPr>
                <w:p>
                  <w:pPr>
                    <w:pStyle w:val="24"/>
                    <w:jc w:val="center"/>
                    <w:rPr>
                      <w:rFonts w:hint="eastAsia" w:ascii="Times New Roman" w:hAnsi="Times New Roman"/>
                      <w:kern w:val="2"/>
                      <w:sz w:val="18"/>
                      <w:szCs w:val="18"/>
                    </w:rPr>
                  </w:pPr>
                  <w:r>
                    <w:rPr>
                      <w:rFonts w:hint="eastAsia" w:ascii="Times New Roman" w:hAnsi="Times New Roman"/>
                      <w:kern w:val="2"/>
                      <w:sz w:val="18"/>
                      <w:szCs w:val="18"/>
                    </w:rPr>
                    <w:t>《建筑施工场界环境噪声排放标准》（GB12523-2011）昼间70dB（A）、55 dB（A）；</w:t>
                  </w:r>
                </w:p>
                <w:p>
                  <w:pPr>
                    <w:pStyle w:val="24"/>
                    <w:jc w:val="center"/>
                    <w:rPr>
                      <w:rFonts w:ascii="Times New Roman" w:hAnsi="Times New Roman"/>
                      <w:kern w:val="2"/>
                      <w:sz w:val="18"/>
                      <w:szCs w:val="18"/>
                    </w:rPr>
                  </w:pPr>
                  <w:r>
                    <w:rPr>
                      <w:rFonts w:hint="eastAsia" w:ascii="Times New Roman" w:hAnsi="Times New Roman"/>
                      <w:kern w:val="2"/>
                      <w:sz w:val="18"/>
                      <w:szCs w:val="18"/>
                    </w:rPr>
                    <w:t>《声环境质量标准》(GB3096-2008)1类标准：昼间55dB(A)、夜间45dB(A)；</w:t>
                  </w:r>
                </w:p>
              </w:tc>
            </w:tr>
          </w:tbl>
          <w:p>
            <w:pPr>
              <w:adjustRightInd w:val="0"/>
              <w:snapToGrid w:val="0"/>
              <w:spacing w:line="360" w:lineRule="auto"/>
              <w:ind w:firstLine="480" w:firstLineChars="200"/>
              <w:rPr>
                <w:sz w:val="24"/>
              </w:rPr>
            </w:pPr>
            <w:r>
              <w:rPr>
                <w:rFonts w:hint="eastAsia"/>
                <w:sz w:val="24"/>
              </w:rPr>
              <w:t>从上表中可以看出，单台机械设备在60m外产生的声级值均能满足《建筑施工场界环境噪声排放标准》（GB12523-2011）昼间标准要求，夜间场界施工噪声达标距离为280m。施工现场往往是多种施工机械同时进行作业。从推算的结果看，噪声污染最严重的施工机械是装载机，其他的施工机械噪声较低。因此，降低施工噪声对周围环境的影响，施工单位在施工过程中，要加强施工作业管理，施工作业时采用低噪声施工设备、施工设备加装减震垫等措施，禁止夜间施工（22:00—次日6:00）。施工场界能够满足《建筑施工场界环境噪声排放标准》（GB12523-2011）的要求。</w:t>
            </w:r>
          </w:p>
          <w:p>
            <w:pPr>
              <w:adjustRightInd w:val="0"/>
              <w:snapToGrid w:val="0"/>
              <w:spacing w:line="360" w:lineRule="auto"/>
              <w:ind w:firstLine="480" w:firstLineChars="200"/>
              <w:rPr>
                <w:sz w:val="24"/>
              </w:rPr>
            </w:pPr>
            <w:r>
              <w:rPr>
                <w:rFonts w:hint="eastAsia"/>
                <w:sz w:val="24"/>
              </w:rPr>
              <w:t>（2）交通噪声对声环境的影响</w:t>
            </w:r>
          </w:p>
          <w:p>
            <w:pPr>
              <w:adjustRightInd w:val="0"/>
              <w:snapToGrid w:val="0"/>
              <w:spacing w:line="360" w:lineRule="auto"/>
              <w:ind w:firstLine="480" w:firstLineChars="200"/>
              <w:rPr>
                <w:sz w:val="24"/>
              </w:rPr>
            </w:pPr>
            <w:r>
              <w:rPr>
                <w:rFonts w:hint="eastAsia"/>
                <w:sz w:val="24"/>
              </w:rPr>
              <w:t>工程所需油料、碎石、块石、水泥等均需外运，以及工程土方内部调用运输都需要汽车运输，运输车辆一般为重型汽车，车辆运输过程中产生的噪声为流动噪声。运输车辆在运输外购建筑材料途经居民居住区时，将对其声环境产生不利影响。</w:t>
            </w:r>
          </w:p>
          <w:p>
            <w:pPr>
              <w:adjustRightInd w:val="0"/>
              <w:snapToGrid w:val="0"/>
              <w:spacing w:line="360" w:lineRule="auto"/>
              <w:ind w:firstLine="480" w:firstLineChars="200"/>
              <w:rPr>
                <w:sz w:val="24"/>
              </w:rPr>
            </w:pPr>
            <w:r>
              <w:rPr>
                <w:rFonts w:hint="eastAsia"/>
                <w:sz w:val="24"/>
              </w:rPr>
              <w:t>施工过程中，可以在受施工交通运输噪声影响较大的村屯采取降噪措施以减小不利影响。施工噪声对声环境的影响属于短期的、暂时的，施工结束后就会自然消失。因此，项目施工过程产生的噪声对周边的声环境影响很小。</w:t>
            </w:r>
          </w:p>
          <w:p>
            <w:pPr>
              <w:adjustRightInd w:val="0"/>
              <w:snapToGrid w:val="0"/>
              <w:spacing w:line="360" w:lineRule="auto"/>
              <w:ind w:firstLine="480" w:firstLineChars="200"/>
              <w:rPr>
                <w:sz w:val="24"/>
              </w:rPr>
            </w:pPr>
            <w:r>
              <w:rPr>
                <w:sz w:val="24"/>
              </w:rPr>
              <w:t>（2）交通噪声对声环境的影响</w:t>
            </w:r>
          </w:p>
          <w:p>
            <w:pPr>
              <w:adjustRightInd w:val="0"/>
              <w:snapToGrid w:val="0"/>
              <w:spacing w:line="360" w:lineRule="auto"/>
              <w:ind w:firstLine="480" w:firstLineChars="200"/>
              <w:rPr>
                <w:sz w:val="24"/>
              </w:rPr>
            </w:pPr>
            <w:r>
              <w:rPr>
                <w:sz w:val="24"/>
              </w:rPr>
              <w:t>工程所需</w:t>
            </w:r>
            <w:r>
              <w:rPr>
                <w:rFonts w:hint="eastAsia"/>
                <w:sz w:val="24"/>
              </w:rPr>
              <w:t>油料、砂石料</w:t>
            </w:r>
            <w:r>
              <w:rPr>
                <w:sz w:val="24"/>
              </w:rPr>
              <w:t>等均需外运，</w:t>
            </w:r>
            <w:r>
              <w:rPr>
                <w:rFonts w:hint="eastAsia"/>
                <w:sz w:val="24"/>
              </w:rPr>
              <w:t>工程内部土石方调用等都需要汽车运输，</w:t>
            </w:r>
            <w:r>
              <w:rPr>
                <w:sz w:val="24"/>
              </w:rPr>
              <w:t>运输车辆一般为重型汽车，车辆运输过程中产生的噪声为流动噪声。运输车辆在运输外购建筑材料途</w:t>
            </w:r>
            <w:r>
              <w:rPr>
                <w:rFonts w:hint="eastAsia"/>
                <w:sz w:val="24"/>
              </w:rPr>
              <w:t>经</w:t>
            </w:r>
            <w:r>
              <w:rPr>
                <w:sz w:val="24"/>
              </w:rPr>
              <w:t>居民居住区时，将对其声环境产生不利影响。</w:t>
            </w:r>
            <w:r>
              <w:rPr>
                <w:rFonts w:hint="eastAsia"/>
                <w:sz w:val="24"/>
              </w:rPr>
              <w:t>施工噪声对声环境的影响属于短期的、暂时的，施工结束后就会自然消失，因此，项目施工过程产生的噪声对周边的声环境影响很小。</w:t>
            </w:r>
          </w:p>
          <w:p>
            <w:pPr>
              <w:adjustRightInd w:val="0"/>
              <w:snapToGrid w:val="0"/>
              <w:spacing w:line="360" w:lineRule="auto"/>
              <w:ind w:firstLine="480" w:firstLineChars="200"/>
              <w:rPr>
                <w:sz w:val="24"/>
              </w:rPr>
            </w:pPr>
            <w:r>
              <w:rPr>
                <w:sz w:val="24"/>
              </w:rPr>
              <w:t>（</w:t>
            </w:r>
            <w:r>
              <w:rPr>
                <w:rFonts w:hint="eastAsia"/>
                <w:sz w:val="24"/>
              </w:rPr>
              <w:t>3</w:t>
            </w:r>
            <w:r>
              <w:rPr>
                <w:sz w:val="24"/>
              </w:rPr>
              <w:t>）</w:t>
            </w:r>
            <w:r>
              <w:rPr>
                <w:rFonts w:hint="eastAsia"/>
                <w:sz w:val="24"/>
              </w:rPr>
              <w:t>施工期噪声对声环境敏感点</w:t>
            </w:r>
            <w:r>
              <w:rPr>
                <w:sz w:val="24"/>
              </w:rPr>
              <w:t>的影响</w:t>
            </w:r>
          </w:p>
          <w:p>
            <w:pPr>
              <w:adjustRightInd w:val="0"/>
              <w:snapToGrid w:val="0"/>
              <w:spacing w:line="360" w:lineRule="auto"/>
              <w:ind w:firstLine="480" w:firstLineChars="200"/>
              <w:rPr>
                <w:rFonts w:hint="eastAsia"/>
                <w:sz w:val="24"/>
              </w:rPr>
            </w:pPr>
            <w:r>
              <w:rPr>
                <w:rFonts w:hint="eastAsia"/>
                <w:sz w:val="24"/>
              </w:rPr>
              <w:t>本工程施工区及200m范围内没有村屯等声环境敏感点分布，距离最近的村屯约6km。</w:t>
            </w:r>
          </w:p>
          <w:p>
            <w:pPr>
              <w:widowControl/>
              <w:spacing w:line="360" w:lineRule="auto"/>
              <w:rPr>
                <w:b/>
                <w:sz w:val="24"/>
              </w:rPr>
            </w:pPr>
            <w:r>
              <w:rPr>
                <w:rFonts w:hint="eastAsia"/>
                <w:b/>
                <w:sz w:val="24"/>
              </w:rPr>
              <w:t>7、固体废弃物的影响</w:t>
            </w:r>
          </w:p>
          <w:p>
            <w:pPr>
              <w:adjustRightInd w:val="0"/>
              <w:snapToGrid w:val="0"/>
              <w:spacing w:line="360" w:lineRule="auto"/>
              <w:ind w:firstLine="480" w:firstLineChars="200"/>
              <w:rPr>
                <w:rFonts w:hint="eastAsia"/>
                <w:sz w:val="24"/>
              </w:rPr>
            </w:pPr>
            <w:r>
              <w:rPr>
                <w:rFonts w:hint="eastAsia"/>
                <w:sz w:val="24"/>
              </w:rPr>
              <w:t>本工程的固体废物主要是施工人员产生的生活垃圾。</w:t>
            </w:r>
          </w:p>
          <w:p>
            <w:pPr>
              <w:adjustRightInd w:val="0"/>
              <w:snapToGrid w:val="0"/>
              <w:spacing w:line="360" w:lineRule="auto"/>
              <w:ind w:firstLine="480" w:firstLineChars="200"/>
              <w:rPr>
                <w:rFonts w:hint="eastAsia"/>
                <w:sz w:val="24"/>
              </w:rPr>
            </w:pPr>
            <w:r>
              <w:rPr>
                <w:rFonts w:hint="eastAsia"/>
                <w:sz w:val="24"/>
              </w:rPr>
              <w:t>（1）工程弃渣</w:t>
            </w:r>
          </w:p>
          <w:p>
            <w:pPr>
              <w:adjustRightInd w:val="0"/>
              <w:snapToGrid w:val="0"/>
              <w:spacing w:line="360" w:lineRule="auto"/>
              <w:ind w:firstLine="480" w:firstLineChars="200"/>
              <w:rPr>
                <w:rFonts w:hint="eastAsia"/>
                <w:sz w:val="24"/>
              </w:rPr>
            </w:pPr>
            <w:r>
              <w:rPr>
                <w:rFonts w:hint="eastAsia"/>
                <w:sz w:val="24"/>
              </w:rPr>
              <w:t>根据土石方平衡，本项目不产生永久工程弃渣。</w:t>
            </w:r>
          </w:p>
          <w:p>
            <w:pPr>
              <w:spacing w:line="360" w:lineRule="auto"/>
              <w:ind w:firstLine="480" w:firstLineChars="200"/>
              <w:rPr>
                <w:rFonts w:hint="eastAsia"/>
                <w:sz w:val="24"/>
              </w:rPr>
            </w:pPr>
            <w:r>
              <w:rPr>
                <w:sz w:val="24"/>
              </w:rPr>
              <w:t>工程动用土石方总量为</w:t>
            </w:r>
            <w:r>
              <w:rPr>
                <w:rFonts w:hint="eastAsia"/>
                <w:sz w:val="24"/>
              </w:rPr>
              <w:t>2.31万</w:t>
            </w:r>
            <w:r>
              <w:rPr>
                <w:sz w:val="24"/>
              </w:rPr>
              <w:t>m</w:t>
            </w:r>
            <w:r>
              <w:rPr>
                <w:sz w:val="24"/>
                <w:vertAlign w:val="superscript"/>
              </w:rPr>
              <w:t>3</w:t>
            </w:r>
            <w:r>
              <w:rPr>
                <w:sz w:val="24"/>
              </w:rPr>
              <w:t>，其中开挖方</w:t>
            </w:r>
            <w:r>
              <w:rPr>
                <w:rFonts w:hint="eastAsia"/>
                <w:sz w:val="24"/>
              </w:rPr>
              <w:t>0.45万</w:t>
            </w:r>
            <w:r>
              <w:rPr>
                <w:sz w:val="24"/>
              </w:rPr>
              <w:t>m</w:t>
            </w:r>
            <w:r>
              <w:rPr>
                <w:sz w:val="24"/>
                <w:vertAlign w:val="superscript"/>
              </w:rPr>
              <w:t>3</w:t>
            </w:r>
            <w:r>
              <w:rPr>
                <w:rFonts w:hint="eastAsia"/>
                <w:sz w:val="24"/>
              </w:rPr>
              <w:t>，</w:t>
            </w:r>
            <w:r>
              <w:rPr>
                <w:sz w:val="24"/>
              </w:rPr>
              <w:t>回填方</w:t>
            </w:r>
            <w:r>
              <w:rPr>
                <w:rFonts w:hint="eastAsia"/>
                <w:sz w:val="24"/>
              </w:rPr>
              <w:t>1.86万</w:t>
            </w:r>
            <w:r>
              <w:rPr>
                <w:sz w:val="24"/>
              </w:rPr>
              <w:t>m</w:t>
            </w:r>
            <w:r>
              <w:rPr>
                <w:sz w:val="24"/>
                <w:vertAlign w:val="superscript"/>
              </w:rPr>
              <w:t>3</w:t>
            </w:r>
            <w:r>
              <w:rPr>
                <w:sz w:val="24"/>
              </w:rPr>
              <w:t>，</w:t>
            </w:r>
            <w:r>
              <w:rPr>
                <w:rFonts w:hint="eastAsia"/>
                <w:sz w:val="24"/>
              </w:rPr>
              <w:t>外购土方1.40万m</w:t>
            </w:r>
            <w:r>
              <w:rPr>
                <w:rFonts w:hint="eastAsia"/>
                <w:sz w:val="24"/>
                <w:vertAlign w:val="superscript"/>
              </w:rPr>
              <w:t>3</w:t>
            </w:r>
            <w:r>
              <w:rPr>
                <w:rFonts w:hint="eastAsia"/>
                <w:sz w:val="24"/>
              </w:rPr>
              <w:t>用于围堰填筑，工程施工产生弃土0.02万m</w:t>
            </w:r>
            <w:r>
              <w:rPr>
                <w:rFonts w:hint="eastAsia"/>
                <w:sz w:val="24"/>
                <w:vertAlign w:val="superscript"/>
              </w:rPr>
              <w:t>3</w:t>
            </w:r>
            <w:r>
              <w:rPr>
                <w:rFonts w:hint="eastAsia"/>
                <w:sz w:val="24"/>
              </w:rPr>
              <w:t>，建筑拆除砼及砌石0.03万m</w:t>
            </w:r>
            <w:r>
              <w:rPr>
                <w:rFonts w:hint="eastAsia"/>
                <w:sz w:val="24"/>
                <w:vertAlign w:val="superscript"/>
              </w:rPr>
              <w:t>3</w:t>
            </w:r>
            <w:r>
              <w:rPr>
                <w:rFonts w:hint="eastAsia"/>
                <w:sz w:val="24"/>
              </w:rPr>
              <w:t>，施工结束围堰拆除1.40万m</w:t>
            </w:r>
            <w:r>
              <w:rPr>
                <w:rFonts w:hint="eastAsia"/>
                <w:sz w:val="24"/>
                <w:vertAlign w:val="superscript"/>
              </w:rPr>
              <w:t>3</w:t>
            </w:r>
            <w:r>
              <w:rPr>
                <w:rFonts w:hint="eastAsia"/>
                <w:sz w:val="24"/>
              </w:rPr>
              <w:t>，小计1.45万m</w:t>
            </w:r>
            <w:r>
              <w:rPr>
                <w:rFonts w:hint="eastAsia"/>
                <w:sz w:val="24"/>
                <w:vertAlign w:val="superscript"/>
              </w:rPr>
              <w:t>3</w:t>
            </w:r>
            <w:r>
              <w:rPr>
                <w:rFonts w:hint="eastAsia"/>
                <w:sz w:val="24"/>
              </w:rPr>
              <w:t>，主体工程弃土及拆除砼等全部回填永久征地范围内冲坑中，不产生永久弃渣。</w:t>
            </w:r>
          </w:p>
          <w:p>
            <w:pPr>
              <w:adjustRightInd w:val="0"/>
              <w:snapToGrid w:val="0"/>
              <w:spacing w:line="360" w:lineRule="auto"/>
              <w:ind w:firstLine="480" w:firstLineChars="200"/>
              <w:rPr>
                <w:rFonts w:hint="eastAsia"/>
                <w:sz w:val="24"/>
              </w:rPr>
            </w:pPr>
            <w:r>
              <w:rPr>
                <w:rFonts w:hint="eastAsia"/>
                <w:sz w:val="24"/>
              </w:rPr>
              <w:t>（2）生活垃圾</w:t>
            </w:r>
          </w:p>
          <w:p>
            <w:pPr>
              <w:adjustRightInd w:val="0"/>
              <w:snapToGrid w:val="0"/>
              <w:spacing w:line="360" w:lineRule="auto"/>
              <w:ind w:firstLine="480" w:firstLineChars="200"/>
              <w:rPr>
                <w:rFonts w:hint="eastAsia"/>
                <w:sz w:val="24"/>
              </w:rPr>
            </w:pPr>
            <w:r>
              <w:rPr>
                <w:rFonts w:hint="eastAsia"/>
                <w:sz w:val="24"/>
              </w:rPr>
              <w:t>本工程布设1个施工临时生活区，施工高峰期人数为36人/d，按每人每天排放1.0kg垃圾计算，则施工高峰期垃圾排放总量约为36kg/d。施工人员产生的生活垃圾若随意堆放，影响施工区环境卫生，夏秋季节易造成蚊、蝇滋生或鼠类繁殖，导致疾病流行，进而威胁施工人员身体健康。临时施工区距离呼兰河干流较近，一旦垃圾中的污染物进入河流，将造成近岸水体悬浮物、浊度增加，有机污染物浓度增加，导致局部水域水质变差。因此，应对施工期生活垃圾集中进行妥善处置，配置垃圾箱集中收集日常生活中产生的垃圾，安排专人负责生活垃圾的清扫，并及时转运到指定垃圾处理厂。</w:t>
            </w:r>
          </w:p>
          <w:p>
            <w:pPr>
              <w:adjustRightInd w:val="0"/>
              <w:snapToGrid w:val="0"/>
              <w:spacing w:line="360" w:lineRule="auto"/>
              <w:ind w:firstLine="480" w:firstLineChars="200"/>
            </w:pPr>
            <w:r>
              <w:rPr>
                <w:rFonts w:hint="eastAsia"/>
                <w:sz w:val="24"/>
              </w:rPr>
              <w:t>采取上述措施后，施工期固体废物可得到妥善处置，对周围环境影响较小。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79" w:type="dxa"/>
            <w:noWrap w:val="0"/>
            <w:tcMar>
              <w:left w:w="28" w:type="dxa"/>
              <w:right w:w="28" w:type="dxa"/>
            </w:tcMar>
            <w:vAlign w:val="center"/>
          </w:tcPr>
          <w:p>
            <w:pPr>
              <w:pStyle w:val="12"/>
              <w:adjustRightInd w:val="0"/>
              <w:snapToGrid w:val="0"/>
              <w:spacing w:before="0" w:beforeAutospacing="0" w:after="0" w:afterAutospacing="0" w:line="360" w:lineRule="auto"/>
              <w:jc w:val="center"/>
              <w:rPr>
                <w:rFonts w:cs="宋体"/>
                <w:bCs/>
                <w:kern w:val="2"/>
              </w:rPr>
            </w:pPr>
            <w:r>
              <w:rPr>
                <w:rFonts w:hint="eastAsia" w:cs="宋体"/>
                <w:bCs/>
                <w:spacing w:val="10"/>
                <w:kern w:val="2"/>
              </w:rPr>
              <w:t>运营期生态环境影响分析</w:t>
            </w:r>
          </w:p>
        </w:tc>
        <w:tc>
          <w:tcPr>
            <w:tcW w:w="8363" w:type="dxa"/>
            <w:noWrap w:val="0"/>
            <w:vAlign w:val="top"/>
          </w:tcPr>
          <w:p>
            <w:pPr>
              <w:widowControl/>
              <w:spacing w:line="360" w:lineRule="auto"/>
              <w:rPr>
                <w:b/>
                <w:sz w:val="24"/>
              </w:rPr>
            </w:pPr>
            <w:r>
              <w:rPr>
                <w:rFonts w:hint="eastAsia"/>
                <w:b/>
                <w:sz w:val="24"/>
              </w:rPr>
              <w:t>1、对土地资源的影响</w:t>
            </w:r>
          </w:p>
          <w:p>
            <w:pPr>
              <w:spacing w:line="360" w:lineRule="auto"/>
              <w:ind w:firstLine="480" w:firstLineChars="200"/>
              <w:rPr>
                <w:sz w:val="24"/>
              </w:rPr>
            </w:pPr>
            <w:r>
              <w:rPr>
                <w:rFonts w:hint="eastAsia"/>
                <w:sz w:val="24"/>
              </w:rPr>
              <w:t>工程建设永久占地总面积合计1.56hm</w:t>
            </w:r>
            <w:r>
              <w:rPr>
                <w:rFonts w:hint="eastAsia"/>
                <w:sz w:val="24"/>
                <w:vertAlign w:val="superscript"/>
              </w:rPr>
              <w:t>2</w:t>
            </w:r>
            <w:r>
              <w:rPr>
                <w:rFonts w:hint="eastAsia"/>
                <w:sz w:val="24"/>
              </w:rPr>
              <w:t>，</w:t>
            </w:r>
            <w:r>
              <w:rPr>
                <w:sz w:val="24"/>
              </w:rPr>
              <w:t>其中</w:t>
            </w:r>
            <w:r>
              <w:rPr>
                <w:rFonts w:hint="eastAsia"/>
                <w:sz w:val="24"/>
              </w:rPr>
              <w:t>其他草地0.06</w:t>
            </w:r>
            <w:r>
              <w:rPr>
                <w:sz w:val="24"/>
              </w:rPr>
              <w:t>hm</w:t>
            </w:r>
            <w:r>
              <w:rPr>
                <w:sz w:val="24"/>
                <w:vertAlign w:val="superscript"/>
              </w:rPr>
              <w:t>2</w:t>
            </w:r>
            <w:r>
              <w:rPr>
                <w:sz w:val="24"/>
              </w:rPr>
              <w:t>，</w:t>
            </w:r>
            <w:r>
              <w:rPr>
                <w:rFonts w:hint="eastAsia"/>
                <w:sz w:val="24"/>
              </w:rPr>
              <w:t>水工建筑用地0.08</w:t>
            </w:r>
            <w:r>
              <w:rPr>
                <w:sz w:val="24"/>
              </w:rPr>
              <w:t>hm</w:t>
            </w:r>
            <w:r>
              <w:rPr>
                <w:sz w:val="24"/>
                <w:vertAlign w:val="superscript"/>
              </w:rPr>
              <w:t>2</w:t>
            </w:r>
            <w:r>
              <w:rPr>
                <w:rFonts w:hint="eastAsia"/>
                <w:sz w:val="24"/>
              </w:rPr>
              <w:t>，河流水面1.42</w:t>
            </w:r>
            <w:r>
              <w:rPr>
                <w:sz w:val="24"/>
              </w:rPr>
              <w:t>hm</w:t>
            </w:r>
            <w:r>
              <w:rPr>
                <w:sz w:val="24"/>
                <w:vertAlign w:val="superscript"/>
              </w:rPr>
              <w:t>2</w:t>
            </w:r>
            <w:r>
              <w:rPr>
                <w:rFonts w:hint="eastAsia"/>
                <w:sz w:val="24"/>
              </w:rPr>
              <w:t>（水工建筑用地、河流水面均属于水域及水利设施用地，小计为1.50</w:t>
            </w:r>
            <w:r>
              <w:rPr>
                <w:sz w:val="24"/>
              </w:rPr>
              <w:t>hm</w:t>
            </w:r>
            <w:r>
              <w:rPr>
                <w:sz w:val="24"/>
                <w:vertAlign w:val="superscript"/>
              </w:rPr>
              <w:t>2</w:t>
            </w:r>
            <w:r>
              <w:rPr>
                <w:rFonts w:hint="eastAsia"/>
                <w:sz w:val="24"/>
              </w:rPr>
              <w:t>）。永久占地改变土地原有使用功能，在小尺度范围内改变了土地利用格局，造成可使用土地资源量的减少。工程永久占地的地类主要为河流水面和水工建筑用地，并且都属于水域及水利设施用地；另有少量的其他草地，仅占永久占地面积的3.86%。除占用的河流水面和水工建筑用地外，工程占地将导致少量其他草地资源永久损失，但相对于整个区域而言，永久占地面积仅占北林区土地资源的约0.0006%，且不新征永久占地，基本上不会改变现状土地利用现状类型，对土地资源影响轻微。</w:t>
            </w:r>
          </w:p>
          <w:p>
            <w:pPr>
              <w:widowControl/>
              <w:spacing w:line="360" w:lineRule="auto"/>
              <w:rPr>
                <w:b/>
                <w:sz w:val="24"/>
              </w:rPr>
            </w:pPr>
            <w:r>
              <w:rPr>
                <w:rFonts w:hint="eastAsia"/>
                <w:b/>
                <w:sz w:val="24"/>
              </w:rPr>
              <w:t>2、对陆生生态的影响</w:t>
            </w:r>
          </w:p>
          <w:p>
            <w:pPr>
              <w:widowControl/>
              <w:spacing w:line="360" w:lineRule="auto"/>
              <w:ind w:firstLine="480" w:firstLineChars="200"/>
              <w:rPr>
                <w:rFonts w:hint="eastAsia"/>
                <w:sz w:val="24"/>
              </w:rPr>
            </w:pPr>
            <w:r>
              <w:rPr>
                <w:rFonts w:hint="eastAsia"/>
                <w:sz w:val="24"/>
              </w:rPr>
              <w:t>本工程实施后，临时占地通过植物措施将逐渐恢复施工前状况；工程永久占地占用的河流水面、水工建筑用地、其他草地等占项目区的比重较小。虽然</w:t>
            </w:r>
            <w:r>
              <w:rPr>
                <w:sz w:val="24"/>
              </w:rPr>
              <w:t>工程占地对植被造成</w:t>
            </w:r>
            <w:r>
              <w:rPr>
                <w:rFonts w:hint="eastAsia"/>
                <w:sz w:val="24"/>
              </w:rPr>
              <w:t>一定影响</w:t>
            </w:r>
            <w:r>
              <w:rPr>
                <w:sz w:val="24"/>
              </w:rPr>
              <w:t>，但工程占地范围内的植物在当地其他范围内均有分布，</w:t>
            </w:r>
            <w:r>
              <w:rPr>
                <w:rFonts w:hint="eastAsia"/>
                <w:sz w:val="24"/>
              </w:rPr>
              <w:t>为常见物种。随着工程措施发挥作用以及地表植被自然恢复，施工期受施工噪声等影响产生趋避的野生动物也将逐渐回归工程区，总体来说生态环境将得到逐步改善。</w:t>
            </w:r>
          </w:p>
          <w:p>
            <w:pPr>
              <w:widowControl/>
              <w:spacing w:line="360" w:lineRule="auto"/>
              <w:rPr>
                <w:b/>
                <w:sz w:val="24"/>
              </w:rPr>
            </w:pPr>
            <w:r>
              <w:rPr>
                <w:rFonts w:hint="eastAsia"/>
                <w:b/>
                <w:sz w:val="24"/>
              </w:rPr>
              <w:t>3、对水生生态的影响</w:t>
            </w:r>
          </w:p>
          <w:p>
            <w:pPr>
              <w:adjustRightInd w:val="0"/>
              <w:snapToGrid w:val="0"/>
              <w:spacing w:line="360" w:lineRule="auto"/>
              <w:ind w:firstLine="464"/>
            </w:pPr>
            <w:r>
              <w:rPr>
                <w:snapToGrid w:val="0"/>
                <w:spacing w:val="-4"/>
                <w:sz w:val="24"/>
              </w:rPr>
              <w:t>本项目建成后，</w:t>
            </w:r>
            <w:r>
              <w:rPr>
                <w:rFonts w:hint="eastAsia"/>
                <w:snapToGrid w:val="0"/>
                <w:spacing w:val="-4"/>
                <w:sz w:val="24"/>
              </w:rPr>
              <w:t>工程本身</w:t>
            </w:r>
            <w:r>
              <w:rPr>
                <w:sz w:val="24"/>
              </w:rPr>
              <w:t>不排放污染物，</w:t>
            </w:r>
            <w:r>
              <w:rPr>
                <w:rFonts w:hint="eastAsia"/>
                <w:sz w:val="24"/>
              </w:rPr>
              <w:t>项目实施前后，工程规模和调度运行方式不变，泄洪闸多数时间为敞开状态，不会改变现有河流水文情势，</w:t>
            </w:r>
            <w:r>
              <w:rPr>
                <w:sz w:val="24"/>
              </w:rPr>
              <w:t>不会对</w:t>
            </w:r>
            <w:r>
              <w:rPr>
                <w:rFonts w:hint="eastAsia"/>
                <w:sz w:val="24"/>
              </w:rPr>
              <w:t>呼兰河干流</w:t>
            </w:r>
            <w:r>
              <w:rPr>
                <w:sz w:val="24"/>
              </w:rPr>
              <w:t>水生生物产生不利影响</w:t>
            </w: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879" w:type="dxa"/>
            <w:noWrap w:val="0"/>
            <w:vAlign w:val="center"/>
          </w:tcPr>
          <w:p>
            <w:pPr>
              <w:pStyle w:val="12"/>
              <w:adjustRightInd w:val="0"/>
              <w:snapToGrid w:val="0"/>
              <w:spacing w:before="0" w:beforeAutospacing="0" w:after="0" w:afterAutospacing="0" w:line="360" w:lineRule="auto"/>
              <w:jc w:val="center"/>
              <w:rPr>
                <w:rFonts w:cs="宋体"/>
                <w:bCs/>
                <w:kern w:val="2"/>
              </w:rPr>
            </w:pPr>
            <w:r>
              <w:rPr>
                <w:rFonts w:hint="eastAsia" w:cs="宋体"/>
                <w:bCs/>
                <w:kern w:val="2"/>
              </w:rPr>
              <w:t>选址选线环境合理性分析</w:t>
            </w:r>
          </w:p>
        </w:tc>
        <w:tc>
          <w:tcPr>
            <w:tcW w:w="8363" w:type="dxa"/>
            <w:noWrap w:val="0"/>
            <w:vAlign w:val="top"/>
          </w:tcPr>
          <w:p>
            <w:pPr>
              <w:widowControl/>
              <w:spacing w:line="360" w:lineRule="auto"/>
              <w:rPr>
                <w:b/>
                <w:sz w:val="24"/>
              </w:rPr>
            </w:pPr>
            <w:r>
              <w:rPr>
                <w:rFonts w:hint="eastAsia"/>
                <w:b/>
                <w:sz w:val="24"/>
              </w:rPr>
              <w:t>1、选址选线环境合理性分析</w:t>
            </w:r>
          </w:p>
          <w:p>
            <w:pPr>
              <w:widowControl/>
              <w:spacing w:line="360" w:lineRule="auto"/>
              <w:ind w:firstLine="480" w:firstLineChars="200"/>
              <w:rPr>
                <w:rFonts w:hint="eastAsia"/>
                <w:sz w:val="24"/>
              </w:rPr>
            </w:pPr>
            <w:r>
              <w:rPr>
                <w:rFonts w:hint="eastAsia"/>
                <w:sz w:val="24"/>
              </w:rPr>
              <w:t>本项目主要是针对已有泄洪闸进行除险加固，属于水利类防洪工程。现状永安灌区枢纽布局合理，为了减少新增占地面积，也是为了减轻对环境的影响程度，泄洪闸是在原址上进行除险加固。</w:t>
            </w:r>
          </w:p>
          <w:p>
            <w:pPr>
              <w:widowControl/>
              <w:spacing w:line="360" w:lineRule="auto"/>
              <w:ind w:firstLine="480" w:firstLineChars="200"/>
              <w:jc w:val="left"/>
              <w:rPr>
                <w:rFonts w:hint="eastAsia"/>
                <w:sz w:val="24"/>
              </w:rPr>
            </w:pPr>
            <w:r>
              <w:rPr>
                <w:rFonts w:hint="eastAsia"/>
                <w:sz w:val="24"/>
              </w:rPr>
              <w:t>工程建设范围及附近不涉及自然保护区、饮用水水源保护区、森林公园、地质公园、重要湿地等，也不涉及生态保护红线。永久占地以河流水面、水工建筑用地为主，不涉及珍稀濒危保护物种。运行期工程不排放污染物。项目选址选线符合《绥化市人民政府关于实施“三线一单”生态环境分区管控的意见》和《绥化市生态环境准入清单（2023年版）》相关条款，环境合理。</w:t>
            </w:r>
          </w:p>
          <w:p>
            <w:pPr>
              <w:widowControl/>
              <w:spacing w:line="360" w:lineRule="auto"/>
              <w:jc w:val="left"/>
              <w:rPr>
                <w:b/>
                <w:sz w:val="24"/>
              </w:rPr>
            </w:pPr>
            <w:bookmarkStart w:id="25" w:name="_Toc47619685"/>
            <w:r>
              <w:rPr>
                <w:rFonts w:hint="eastAsia"/>
                <w:b/>
                <w:sz w:val="24"/>
              </w:rPr>
              <w:t>2、施工生产生活区布置环境合理性分析</w:t>
            </w:r>
            <w:bookmarkEnd w:id="25"/>
          </w:p>
          <w:p>
            <w:pPr>
              <w:widowControl/>
              <w:spacing w:line="360" w:lineRule="auto"/>
              <w:ind w:firstLine="480" w:firstLineChars="200"/>
              <w:rPr>
                <w:rFonts w:hint="eastAsia"/>
                <w:sz w:val="24"/>
              </w:rPr>
            </w:pPr>
            <w:r>
              <w:rPr>
                <w:rFonts w:hint="eastAsia"/>
                <w:sz w:val="24"/>
              </w:rPr>
              <w:t>施工生产生活区选址过程中已避让基本农田和公益林。施工生产生活区占地范围及附近不涉及自然保护区等环境敏感区，不涉及生态保护红线，不存在环境制约因素。</w:t>
            </w:r>
          </w:p>
          <w:p>
            <w:pPr>
              <w:widowControl/>
              <w:spacing w:line="360" w:lineRule="auto"/>
              <w:ind w:firstLine="480" w:firstLineChars="200"/>
              <w:rPr>
                <w:rFonts w:hint="eastAsia"/>
                <w:sz w:val="24"/>
              </w:rPr>
            </w:pPr>
            <w:r>
              <w:rPr>
                <w:rFonts w:hint="eastAsia"/>
                <w:sz w:val="24"/>
              </w:rPr>
              <w:t>施工生产生活区的布置本着有利生产、方便职工生活、少占耕地、节约临时工程投资的原则。根据施工组织设计，本项目布设1个施工生产区和1个临时生活区，占地属临时占地，施工生产生活区临时占地面积0.38hm</w:t>
            </w:r>
            <w:r>
              <w:rPr>
                <w:rFonts w:hint="eastAsia"/>
                <w:sz w:val="24"/>
                <w:vertAlign w:val="superscript"/>
              </w:rPr>
              <w:t>2</w:t>
            </w:r>
            <w:r>
              <w:rPr>
                <w:rFonts w:hint="eastAsia"/>
                <w:sz w:val="24"/>
              </w:rPr>
              <w:t>，其中旱田0.11hm</w:t>
            </w:r>
            <w:r>
              <w:rPr>
                <w:rFonts w:hint="eastAsia"/>
                <w:sz w:val="24"/>
                <w:vertAlign w:val="superscript"/>
              </w:rPr>
              <w:t>2</w:t>
            </w:r>
            <w:r>
              <w:rPr>
                <w:rFonts w:hint="eastAsia"/>
                <w:sz w:val="24"/>
              </w:rPr>
              <w:t>，其他草地00.27hm</w:t>
            </w:r>
            <w:r>
              <w:rPr>
                <w:rFonts w:hint="eastAsia"/>
                <w:sz w:val="24"/>
                <w:vertAlign w:val="superscript"/>
              </w:rPr>
              <w:t>2</w:t>
            </w:r>
            <w:r>
              <w:rPr>
                <w:rFonts w:hint="eastAsia"/>
                <w:sz w:val="24"/>
              </w:rPr>
              <w:t>。</w:t>
            </w:r>
          </w:p>
          <w:p>
            <w:pPr>
              <w:widowControl/>
              <w:spacing w:line="360" w:lineRule="auto"/>
              <w:ind w:firstLine="480" w:firstLineChars="200"/>
              <w:jc w:val="left"/>
              <w:rPr>
                <w:rFonts w:hint="eastAsia"/>
                <w:sz w:val="24"/>
              </w:rPr>
            </w:pPr>
            <w:r>
              <w:rPr>
                <w:rFonts w:hint="eastAsia"/>
                <w:sz w:val="24"/>
              </w:rPr>
              <w:t>生产区和生活区联合布置，便于减少临时占地面积，减少了对地表植被的破坏，有利于水土流失防治；施工区根据工程建设需要，选择在相对平坦的地块，场地平整工程量小，工程实施时，严格控制施工占地，对于施工场地扰动地表和破坏植被面积以及所造成的水土流失，采取工程和植物相结合的水土保持措施予以治理。同时通过设置预沉池、沉淀池、清水池等处理混凝土拌和及养护废水，通过设置沉淀池、反应池、清水池等处理基坑排水，设置环保型防渗旱厕和化粪池处理生活污水等措施，通过在生活区采用设置垃圾箱集中收集处理生活垃圾，尽量减少施工期工程建设对周边环境的影响。综上，本项目的施工生产生活区布置环境合理。</w:t>
            </w:r>
          </w:p>
          <w:p>
            <w:pPr>
              <w:widowControl/>
              <w:spacing w:line="360" w:lineRule="auto"/>
              <w:jc w:val="left"/>
              <w:rPr>
                <w:b/>
                <w:sz w:val="24"/>
              </w:rPr>
            </w:pPr>
            <w:bookmarkStart w:id="26" w:name="_Toc47619683"/>
            <w:r>
              <w:rPr>
                <w:rFonts w:hint="eastAsia"/>
                <w:b/>
                <w:sz w:val="24"/>
              </w:rPr>
              <w:t>3、弃渣场、料场选址合理性分析</w:t>
            </w:r>
            <w:bookmarkEnd w:id="26"/>
          </w:p>
          <w:p>
            <w:pPr>
              <w:widowControl/>
              <w:spacing w:line="360" w:lineRule="auto"/>
              <w:ind w:firstLine="480" w:firstLineChars="200"/>
              <w:jc w:val="left"/>
              <w:rPr>
                <w:sz w:val="24"/>
              </w:rPr>
            </w:pPr>
            <w:r>
              <w:rPr>
                <w:sz w:val="24"/>
              </w:rPr>
              <w:t>（1）弃渣场</w:t>
            </w:r>
            <w:r>
              <w:rPr>
                <w:rFonts w:hint="eastAsia"/>
                <w:sz w:val="24"/>
              </w:rPr>
              <w:t>环境</w:t>
            </w:r>
            <w:r>
              <w:rPr>
                <w:sz w:val="24"/>
              </w:rPr>
              <w:t>合理性分析</w:t>
            </w:r>
          </w:p>
          <w:p>
            <w:pPr>
              <w:widowControl/>
              <w:spacing w:line="360" w:lineRule="auto"/>
              <w:ind w:firstLine="480" w:firstLineChars="200"/>
              <w:jc w:val="left"/>
              <w:rPr>
                <w:rFonts w:hint="eastAsia"/>
                <w:sz w:val="24"/>
              </w:rPr>
            </w:pPr>
            <w:r>
              <w:rPr>
                <w:sz w:val="24"/>
              </w:rPr>
              <w:t>本项目不设</w:t>
            </w:r>
            <w:r>
              <w:rPr>
                <w:rFonts w:hint="eastAsia"/>
                <w:sz w:val="24"/>
              </w:rPr>
              <w:t>永久</w:t>
            </w:r>
            <w:r>
              <w:rPr>
                <w:sz w:val="24"/>
              </w:rPr>
              <w:t>弃渣场</w:t>
            </w:r>
            <w:r>
              <w:rPr>
                <w:rFonts w:hint="eastAsia"/>
                <w:sz w:val="24"/>
              </w:rPr>
              <w:t>。</w:t>
            </w:r>
          </w:p>
          <w:p>
            <w:pPr>
              <w:widowControl/>
              <w:spacing w:line="360" w:lineRule="auto"/>
              <w:ind w:firstLine="480" w:firstLineChars="200"/>
              <w:jc w:val="left"/>
              <w:rPr>
                <w:sz w:val="24"/>
              </w:rPr>
            </w:pPr>
            <w:r>
              <w:rPr>
                <w:sz w:val="24"/>
              </w:rPr>
              <w:t>（2）料场</w:t>
            </w:r>
            <w:r>
              <w:rPr>
                <w:rFonts w:hint="eastAsia"/>
                <w:sz w:val="24"/>
              </w:rPr>
              <w:t>环境</w:t>
            </w:r>
            <w:r>
              <w:rPr>
                <w:sz w:val="24"/>
              </w:rPr>
              <w:t>合理性分析</w:t>
            </w:r>
          </w:p>
          <w:p>
            <w:pPr>
              <w:widowControl/>
              <w:spacing w:line="360" w:lineRule="auto"/>
              <w:ind w:firstLine="480" w:firstLineChars="200"/>
              <w:jc w:val="left"/>
              <w:rPr>
                <w:rFonts w:hint="eastAsia"/>
                <w:sz w:val="24"/>
              </w:rPr>
            </w:pPr>
            <w:r>
              <w:rPr>
                <w:sz w:val="24"/>
              </w:rPr>
              <w:t>本项目不设</w:t>
            </w:r>
            <w:r>
              <w:rPr>
                <w:rFonts w:hint="eastAsia"/>
                <w:sz w:val="24"/>
              </w:rPr>
              <w:t>料</w:t>
            </w:r>
            <w:r>
              <w:rPr>
                <w:sz w:val="24"/>
              </w:rPr>
              <w:t>场</w:t>
            </w:r>
            <w:r>
              <w:rPr>
                <w:rFonts w:hint="eastAsia"/>
                <w:sz w:val="24"/>
              </w:rPr>
              <w:t>。</w:t>
            </w:r>
          </w:p>
          <w:p>
            <w:pPr>
              <w:widowControl/>
              <w:spacing w:line="360" w:lineRule="auto"/>
              <w:ind w:firstLine="480" w:firstLineChars="200"/>
              <w:rPr>
                <w:rFonts w:hint="eastAsia"/>
                <w:sz w:val="24"/>
              </w:rPr>
            </w:pPr>
          </w:p>
          <w:p>
            <w:pPr>
              <w:widowControl/>
              <w:spacing w:line="360" w:lineRule="auto"/>
              <w:ind w:firstLine="480" w:firstLineChars="200"/>
              <w:rPr>
                <w:rFonts w:hint="eastAsia"/>
                <w:sz w:val="24"/>
              </w:rPr>
            </w:pPr>
          </w:p>
          <w:p>
            <w:pPr>
              <w:widowControl/>
              <w:spacing w:line="360" w:lineRule="auto"/>
              <w:ind w:firstLine="480" w:firstLineChars="200"/>
              <w:rPr>
                <w:rFonts w:hint="eastAsia"/>
                <w:sz w:val="24"/>
              </w:rPr>
            </w:pPr>
          </w:p>
          <w:p>
            <w:pPr>
              <w:widowControl/>
              <w:jc w:val="left"/>
            </w:pPr>
          </w:p>
        </w:tc>
      </w:tr>
    </w:tbl>
    <w:p>
      <w:pPr>
        <w:pStyle w:val="12"/>
        <w:jc w:val="center"/>
        <w:rPr>
          <w:rFonts w:ascii="黑体" w:hAnsi="黑体" w:eastAsia="黑体"/>
          <w:snapToGrid w:val="0"/>
          <w:sz w:val="36"/>
          <w:szCs w:val="36"/>
        </w:rPr>
        <w:sectPr>
          <w:pgSz w:w="11906" w:h="16838"/>
          <w:pgMar w:top="1440" w:right="1800" w:bottom="1440" w:left="1800" w:header="851" w:footer="1077" w:gutter="0"/>
          <w:cols w:space="720" w:num="1"/>
          <w:docGrid w:linePitch="312" w:charSpace="0"/>
        </w:sectPr>
      </w:pPr>
    </w:p>
    <w:p>
      <w:pPr>
        <w:pStyle w:val="12"/>
        <w:jc w:val="center"/>
        <w:outlineLvl w:val="0"/>
        <w:rPr>
          <w:rFonts w:ascii="黑体" w:hAnsi="黑体" w:eastAsia="黑体"/>
          <w:snapToGrid w:val="0"/>
          <w:sz w:val="30"/>
          <w:szCs w:val="30"/>
        </w:rPr>
      </w:pPr>
      <w:bookmarkStart w:id="27" w:name="_Toc138834967"/>
      <w:r>
        <w:rPr>
          <w:rFonts w:hint="eastAsia" w:ascii="黑体" w:hAnsi="黑体" w:eastAsia="黑体"/>
          <w:snapToGrid w:val="0"/>
          <w:sz w:val="30"/>
          <w:szCs w:val="30"/>
        </w:rPr>
        <w:t>五、主要生态环境保护措施</w:t>
      </w:r>
      <w:bookmarkEnd w:id="27"/>
    </w:p>
    <w:tbl>
      <w:tblPr>
        <w:tblStyle w:val="14"/>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84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6" w:hRule="atLeast"/>
          <w:jc w:val="center"/>
        </w:trPr>
        <w:tc>
          <w:tcPr>
            <w:tcW w:w="753" w:type="dxa"/>
            <w:noWrap w:val="0"/>
            <w:tcMar>
              <w:left w:w="28" w:type="dxa"/>
              <w:right w:w="28" w:type="dxa"/>
            </w:tcMar>
            <w:vAlign w:val="center"/>
          </w:tcPr>
          <w:p>
            <w:pPr>
              <w:adjustRightInd w:val="0"/>
              <w:snapToGrid w:val="0"/>
              <w:jc w:val="center"/>
              <w:rPr>
                <w:rFonts w:ascii="宋体" w:hAnsi="宋体"/>
                <w:bCs/>
                <w:sz w:val="24"/>
              </w:rPr>
            </w:pPr>
            <w:r>
              <w:rPr>
                <w:rFonts w:hint="eastAsia" w:ascii="宋体" w:hAnsi="宋体" w:cs="宋体"/>
                <w:bCs/>
                <w:spacing w:val="10"/>
                <w:sz w:val="24"/>
              </w:rPr>
              <w:t>施工期生态环境保护措施</w:t>
            </w:r>
          </w:p>
        </w:tc>
        <w:tc>
          <w:tcPr>
            <w:tcW w:w="8457" w:type="dxa"/>
            <w:noWrap w:val="0"/>
            <w:vAlign w:val="top"/>
          </w:tcPr>
          <w:p>
            <w:pPr>
              <w:widowControl/>
              <w:spacing w:line="360" w:lineRule="auto"/>
              <w:jc w:val="left"/>
              <w:rPr>
                <w:b/>
                <w:sz w:val="24"/>
              </w:rPr>
            </w:pPr>
            <w:r>
              <w:rPr>
                <w:rFonts w:hint="eastAsia"/>
                <w:b/>
                <w:sz w:val="24"/>
              </w:rPr>
              <w:t>1、陆生生态保护措施</w:t>
            </w:r>
          </w:p>
          <w:p>
            <w:pPr>
              <w:widowControl/>
              <w:spacing w:line="360" w:lineRule="auto"/>
              <w:jc w:val="left"/>
              <w:rPr>
                <w:b/>
                <w:sz w:val="24"/>
              </w:rPr>
            </w:pPr>
            <w:r>
              <w:rPr>
                <w:rFonts w:hint="eastAsia"/>
                <w:b/>
                <w:sz w:val="24"/>
              </w:rPr>
              <w:t>1.1、陆生生态避让措施</w:t>
            </w:r>
          </w:p>
          <w:p>
            <w:pPr>
              <w:spacing w:line="360" w:lineRule="auto"/>
              <w:ind w:firstLine="480" w:firstLineChars="200"/>
              <w:rPr>
                <w:sz w:val="24"/>
              </w:rPr>
            </w:pPr>
            <w:r>
              <w:rPr>
                <w:sz w:val="24"/>
              </w:rPr>
              <w:t>（1）施工期</w:t>
            </w:r>
            <w:r>
              <w:rPr>
                <w:rFonts w:hint="eastAsia"/>
                <w:sz w:val="24"/>
              </w:rPr>
              <w:t>所有参建单位及人员</w:t>
            </w:r>
            <w:r>
              <w:rPr>
                <w:sz w:val="24"/>
              </w:rPr>
              <w:t>严格</w:t>
            </w:r>
            <w:r>
              <w:rPr>
                <w:rFonts w:hint="eastAsia"/>
                <w:sz w:val="24"/>
              </w:rPr>
              <w:t>遵守《</w:t>
            </w:r>
            <w:r>
              <w:rPr>
                <w:sz w:val="24"/>
              </w:rPr>
              <w:t>中华人民共和国野生动物保护法</w:t>
            </w:r>
            <w:r>
              <w:rPr>
                <w:rFonts w:hint="eastAsia"/>
                <w:sz w:val="24"/>
              </w:rPr>
              <w:t>》《中华人民共和国森林法》《中华人民共和国湿地保护法》《黑龙江省湿地保护条例》《黑龙江省野生动物保护条例》等动植物</w:t>
            </w:r>
            <w:r>
              <w:rPr>
                <w:sz w:val="24"/>
              </w:rPr>
              <w:t>保护</w:t>
            </w:r>
            <w:r>
              <w:rPr>
                <w:rFonts w:hint="eastAsia"/>
                <w:sz w:val="24"/>
              </w:rPr>
              <w:t>相关的法律法规</w:t>
            </w:r>
            <w:r>
              <w:rPr>
                <w:sz w:val="24"/>
              </w:rPr>
              <w:t>和条例，并加强对施工人员的培训和教育，保护动植物资源，减少破坏植被，发放宣传教育手册。</w:t>
            </w:r>
          </w:p>
          <w:p>
            <w:pPr>
              <w:spacing w:line="360" w:lineRule="auto"/>
              <w:ind w:firstLine="480" w:firstLineChars="200"/>
              <w:rPr>
                <w:rFonts w:hint="eastAsia"/>
                <w:sz w:val="24"/>
              </w:rPr>
            </w:pPr>
            <w:r>
              <w:rPr>
                <w:rFonts w:hint="eastAsia"/>
                <w:sz w:val="24"/>
              </w:rPr>
              <w:t>（2）根据施工总平面布置图，确定施工用地范围，进行标桩划界，禁止施工人员、施工机械进入非施工占地区域。</w:t>
            </w:r>
          </w:p>
          <w:p>
            <w:pPr>
              <w:spacing w:line="360" w:lineRule="auto"/>
              <w:ind w:firstLine="480" w:firstLineChars="200"/>
              <w:rPr>
                <w:rFonts w:hint="eastAsia"/>
                <w:sz w:val="24"/>
              </w:rPr>
            </w:pPr>
            <w:r>
              <w:rPr>
                <w:rFonts w:hint="eastAsia"/>
                <w:sz w:val="24"/>
              </w:rPr>
              <w:t>（3）非施工区严禁烟火、狩猎和垂钓等活动。禁止施工人员野外用火，使对野生动物的干扰降至最低程度。</w:t>
            </w:r>
          </w:p>
          <w:p>
            <w:pPr>
              <w:spacing w:line="360" w:lineRule="auto"/>
              <w:ind w:firstLine="480" w:firstLineChars="200"/>
              <w:rPr>
                <w:sz w:val="24"/>
              </w:rPr>
            </w:pPr>
            <w:r>
              <w:rPr>
                <w:sz w:val="24"/>
              </w:rPr>
              <w:t>（4）</w:t>
            </w:r>
            <w:r>
              <w:rPr>
                <w:rFonts w:hint="eastAsia"/>
                <w:sz w:val="24"/>
              </w:rPr>
              <w:t>施工期加强对保护动物基本情况的宣传，增强施工人员的生态保护意识；同时，一旦发现上述保护动物误入工程区，应及时上报，严禁捕杀。</w:t>
            </w:r>
          </w:p>
          <w:p>
            <w:pPr>
              <w:spacing w:line="360" w:lineRule="auto"/>
              <w:ind w:firstLine="480" w:firstLineChars="200"/>
              <w:rPr>
                <w:szCs w:val="21"/>
              </w:rPr>
            </w:pPr>
            <w:r>
              <w:rPr>
                <w:sz w:val="24"/>
              </w:rPr>
              <w:t>（</w:t>
            </w:r>
            <w:r>
              <w:rPr>
                <w:rFonts w:hint="eastAsia"/>
                <w:sz w:val="24"/>
              </w:rPr>
              <w:t>5</w:t>
            </w:r>
            <w:r>
              <w:rPr>
                <w:sz w:val="24"/>
              </w:rPr>
              <w:t>）</w:t>
            </w:r>
            <w:r>
              <w:rPr>
                <w:rFonts w:hint="eastAsia"/>
                <w:sz w:val="24"/>
              </w:rPr>
              <w:t>加强工程建设的环境保护监督管理、统筹安排，设立环境保护监督机构和环保专职人员，加强对施工人员的环保教育，严禁施工人员盗猎野生动物，对违法行为进行依法处置。</w:t>
            </w:r>
          </w:p>
          <w:p>
            <w:pPr>
              <w:widowControl/>
              <w:spacing w:line="360" w:lineRule="auto"/>
              <w:jc w:val="left"/>
              <w:rPr>
                <w:b/>
                <w:sz w:val="24"/>
              </w:rPr>
            </w:pPr>
            <w:r>
              <w:rPr>
                <w:rFonts w:hint="eastAsia"/>
                <w:b/>
                <w:sz w:val="24"/>
              </w:rPr>
              <w:t>1.2、陆生生态减缓措施</w:t>
            </w:r>
          </w:p>
          <w:p>
            <w:pPr>
              <w:spacing w:line="360" w:lineRule="auto"/>
              <w:ind w:firstLine="480" w:firstLineChars="200"/>
              <w:rPr>
                <w:rFonts w:hint="eastAsia"/>
                <w:sz w:val="24"/>
              </w:rPr>
            </w:pPr>
            <w:r>
              <w:rPr>
                <w:rFonts w:hint="eastAsia"/>
                <w:sz w:val="24"/>
              </w:rPr>
              <w:t>（1）开工前对施工临时布置进行细致的规划，即要遵循尽量少占地的原则，特别是不占林地或尽量少占林地。明确施工占地范围和作业带宽度，禁止对施工占地范围外的环境造成破坏。</w:t>
            </w:r>
          </w:p>
          <w:p>
            <w:pPr>
              <w:spacing w:line="360" w:lineRule="auto"/>
              <w:ind w:firstLine="480" w:firstLineChars="200"/>
              <w:rPr>
                <w:rFonts w:hint="eastAsia"/>
                <w:sz w:val="24"/>
              </w:rPr>
            </w:pPr>
            <w:r>
              <w:rPr>
                <w:rFonts w:hint="eastAsia"/>
                <w:sz w:val="24"/>
              </w:rPr>
              <w:t>（2）保护工程占地沿线两侧的植被，减轻对两栖类、爬行类可能分布区的影响。加强施工机械噪声和大气污染防治措施，施工场地场界封闭，采用低噪声施工机械设备并加装消声装置。</w:t>
            </w:r>
          </w:p>
          <w:p>
            <w:pPr>
              <w:spacing w:line="360" w:lineRule="auto"/>
              <w:ind w:firstLine="480" w:firstLineChars="200"/>
              <w:rPr>
                <w:rFonts w:hint="eastAsia"/>
                <w:sz w:val="24"/>
              </w:rPr>
            </w:pPr>
            <w:r>
              <w:rPr>
                <w:rFonts w:hint="eastAsia"/>
                <w:sz w:val="24"/>
              </w:rPr>
              <w:t>（3）加强表土保护。土方开挖前先将表层土壤剥离，堆放保存好，并采取拦挡等临时性水土保持措施进行防护。分层开挖，开挖完成后，分层回填剥离的表层土。工程结束后用于工程占地范围内的地表植被恢复。</w:t>
            </w:r>
          </w:p>
          <w:p>
            <w:pPr>
              <w:spacing w:line="360" w:lineRule="auto"/>
              <w:ind w:firstLine="480" w:firstLineChars="200"/>
              <w:rPr>
                <w:rFonts w:hint="eastAsia"/>
                <w:sz w:val="24"/>
              </w:rPr>
            </w:pPr>
            <w:r>
              <w:rPr>
                <w:rFonts w:hint="eastAsia"/>
                <w:sz w:val="24"/>
              </w:rPr>
              <w:t>（4）对于坡面工程应及时采取工程或植物措施加以防护以减少水土流失现象发生。严格控制开挖施工作业面，避免超挖破坏周围植被。</w:t>
            </w:r>
          </w:p>
          <w:p>
            <w:pPr>
              <w:spacing w:line="360" w:lineRule="auto"/>
              <w:ind w:firstLine="480" w:firstLineChars="200"/>
              <w:rPr>
                <w:rFonts w:hint="eastAsia"/>
                <w:sz w:val="24"/>
              </w:rPr>
            </w:pPr>
            <w:r>
              <w:rPr>
                <w:rFonts w:hint="eastAsia"/>
                <w:sz w:val="24"/>
              </w:rPr>
              <w:t>（5）严格按照设计文件确定范围征占土地，进行地表植被的清理工作。临时占地在施工结束后及时进行耕地复垦和植被恢复。</w:t>
            </w:r>
          </w:p>
          <w:p>
            <w:pPr>
              <w:spacing w:line="360" w:lineRule="auto"/>
              <w:ind w:firstLine="480" w:firstLineChars="200"/>
              <w:rPr>
                <w:rFonts w:hint="eastAsia"/>
                <w:sz w:val="24"/>
              </w:rPr>
            </w:pPr>
            <w:r>
              <w:rPr>
                <w:rFonts w:hint="eastAsia"/>
                <w:sz w:val="24"/>
              </w:rPr>
              <w:t>（6）大规模土方作业应避开暴雨期，不在雨天进行土方作业，防止雨水携带泥土入河，减轻水土流失。临时堆土堆放于远离河道的一侧，避免土堆滑落进入河流。</w:t>
            </w:r>
          </w:p>
          <w:p>
            <w:pPr>
              <w:spacing w:line="360" w:lineRule="auto"/>
              <w:ind w:firstLine="480" w:firstLineChars="200"/>
              <w:rPr>
                <w:rFonts w:hint="eastAsia"/>
                <w:sz w:val="24"/>
              </w:rPr>
            </w:pPr>
            <w:r>
              <w:rPr>
                <w:rFonts w:hint="eastAsia"/>
                <w:sz w:val="24"/>
              </w:rPr>
              <w:t>（7）加强施工现场和生产生活区的环境管理，及时处理临时生活区内产生的生活污水和固体废物；施工结束后，严格清理施工现场和生产生活区，及时恢复土地或地表植被，防止土壤污染，保护土壤环境质量。</w:t>
            </w:r>
          </w:p>
          <w:p>
            <w:pPr>
              <w:spacing w:line="360" w:lineRule="auto"/>
              <w:ind w:firstLine="480" w:firstLineChars="200"/>
              <w:rPr>
                <w:rFonts w:hint="eastAsia"/>
                <w:sz w:val="24"/>
              </w:rPr>
            </w:pPr>
            <w:r>
              <w:rPr>
                <w:rFonts w:hint="eastAsia"/>
                <w:sz w:val="24"/>
              </w:rPr>
              <w:t>（8）加强工程建设的环境保护监督管理、统筹安排，设立环境保护监督机构和环保专职人员，加强对施工人员的环保教育，严禁施工人员盗猎野生动物，对违法行为进行依法处置。</w:t>
            </w:r>
          </w:p>
          <w:p>
            <w:pPr>
              <w:spacing w:line="360" w:lineRule="auto"/>
              <w:ind w:firstLine="480" w:firstLineChars="200"/>
              <w:rPr>
                <w:rFonts w:hint="eastAsia"/>
                <w:sz w:val="24"/>
              </w:rPr>
            </w:pPr>
            <w:r>
              <w:rPr>
                <w:rFonts w:hint="eastAsia"/>
                <w:sz w:val="24"/>
              </w:rPr>
              <w:t>（9）优化施工方案，加快施工进程，缩短周期，减少影响时间。</w:t>
            </w:r>
          </w:p>
          <w:p>
            <w:pPr>
              <w:spacing w:line="360" w:lineRule="auto"/>
              <w:ind w:firstLine="480" w:firstLineChars="200"/>
              <w:rPr>
                <w:rFonts w:hint="eastAsia"/>
                <w:sz w:val="24"/>
              </w:rPr>
            </w:pPr>
            <w:r>
              <w:rPr>
                <w:rFonts w:hint="eastAsia"/>
                <w:sz w:val="24"/>
              </w:rPr>
              <w:t>（10）加强施工现场管理，对于因清理施工场地而砍伐的乔灌木等杂物，应充分利用已征占地，并及时清运，避免新增临时占地，减少对陆生植被影响范围。</w:t>
            </w:r>
          </w:p>
          <w:p>
            <w:pPr>
              <w:spacing w:line="360" w:lineRule="auto"/>
              <w:ind w:firstLine="480" w:firstLineChars="200"/>
              <w:rPr>
                <w:rFonts w:hint="eastAsia"/>
                <w:sz w:val="24"/>
              </w:rPr>
            </w:pPr>
            <w:r>
              <w:rPr>
                <w:rFonts w:hint="eastAsia"/>
                <w:sz w:val="24"/>
              </w:rPr>
              <w:t>（11）在施工结束后，施工临时生产、生活设施将予以拆除，并进行场地平整。</w:t>
            </w:r>
          </w:p>
          <w:p>
            <w:pPr>
              <w:widowControl/>
              <w:spacing w:line="360" w:lineRule="auto"/>
              <w:jc w:val="left"/>
              <w:rPr>
                <w:b/>
                <w:sz w:val="24"/>
              </w:rPr>
            </w:pPr>
            <w:r>
              <w:rPr>
                <w:rFonts w:hint="eastAsia"/>
                <w:b/>
                <w:sz w:val="24"/>
              </w:rPr>
              <w:t>1.3、陆生生态恢复措施</w:t>
            </w:r>
          </w:p>
          <w:p>
            <w:pPr>
              <w:spacing w:line="360" w:lineRule="auto"/>
              <w:ind w:firstLine="480" w:firstLineChars="200"/>
              <w:rPr>
                <w:rFonts w:hint="eastAsia"/>
                <w:sz w:val="24"/>
              </w:rPr>
            </w:pPr>
            <w:r>
              <w:rPr>
                <w:rFonts w:hint="eastAsia"/>
                <w:sz w:val="24"/>
              </w:rPr>
              <w:t>陆生</w:t>
            </w:r>
            <w:r>
              <w:rPr>
                <w:sz w:val="24"/>
              </w:rPr>
              <w:t>生态恢复措施主要是指水土保持措施，主要是对工程临时占地区域采取工程措施、植物措施进行水土流失防治。</w:t>
            </w:r>
            <w:r>
              <w:rPr>
                <w:rFonts w:hint="eastAsia"/>
                <w:sz w:val="24"/>
              </w:rPr>
              <w:t>施工结束后对临时占地进行复垦或植被恢复为原地类。</w:t>
            </w:r>
          </w:p>
          <w:p>
            <w:pPr>
              <w:widowControl/>
              <w:spacing w:line="360" w:lineRule="auto"/>
              <w:jc w:val="left"/>
              <w:rPr>
                <w:b/>
                <w:sz w:val="24"/>
              </w:rPr>
            </w:pPr>
            <w:r>
              <w:rPr>
                <w:rFonts w:hint="eastAsia"/>
                <w:b/>
                <w:sz w:val="24"/>
              </w:rPr>
              <w:t>2、水生生态保护措施</w:t>
            </w:r>
          </w:p>
          <w:p>
            <w:pPr>
              <w:widowControl/>
              <w:spacing w:line="360" w:lineRule="auto"/>
              <w:jc w:val="left"/>
              <w:rPr>
                <w:b/>
                <w:sz w:val="24"/>
              </w:rPr>
            </w:pPr>
            <w:r>
              <w:rPr>
                <w:rFonts w:hint="eastAsia"/>
                <w:b/>
                <w:sz w:val="24"/>
              </w:rPr>
              <w:t>2.1、水生生态避让措施</w:t>
            </w:r>
          </w:p>
          <w:p>
            <w:pPr>
              <w:spacing w:line="360" w:lineRule="auto"/>
              <w:ind w:firstLine="480" w:firstLineChars="200"/>
              <w:rPr>
                <w:rFonts w:hint="eastAsia"/>
                <w:sz w:val="24"/>
              </w:rPr>
            </w:pPr>
            <w:r>
              <w:rPr>
                <w:rFonts w:hint="eastAsia"/>
                <w:sz w:val="24"/>
              </w:rPr>
              <w:t>（1）加强施工期管理和环境保护宣传，禁止施工人员钓、网等捕鱼行为发生。</w:t>
            </w:r>
          </w:p>
          <w:p>
            <w:pPr>
              <w:spacing w:line="360" w:lineRule="auto"/>
              <w:ind w:firstLine="480" w:firstLineChars="200"/>
              <w:rPr>
                <w:rFonts w:hint="eastAsia"/>
                <w:sz w:val="24"/>
              </w:rPr>
            </w:pPr>
            <w:r>
              <w:rPr>
                <w:rFonts w:hint="eastAsia"/>
                <w:sz w:val="24"/>
              </w:rPr>
              <w:t>（2）严格划定施工作业区，减少扰动水体的施工活动。</w:t>
            </w:r>
          </w:p>
          <w:p>
            <w:pPr>
              <w:spacing w:line="360" w:lineRule="auto"/>
              <w:ind w:firstLine="480" w:firstLineChars="200"/>
              <w:rPr>
                <w:rFonts w:hint="eastAsia"/>
                <w:sz w:val="24"/>
              </w:rPr>
            </w:pPr>
            <w:r>
              <w:rPr>
                <w:rFonts w:hint="eastAsia"/>
                <w:sz w:val="24"/>
              </w:rPr>
              <w:t>（3）施工期间应及时处理固体垃圾，有效处理施工期内产生的生产废水和临时生活区内产生的生活污水，禁止将生产生活废污水排入地表水体，防止污染河流水质事件的发生。严禁有毒有害物质进入水体对鱼类等水生生物造成伤害。</w:t>
            </w:r>
          </w:p>
          <w:p>
            <w:pPr>
              <w:widowControl/>
              <w:spacing w:line="360" w:lineRule="auto"/>
              <w:jc w:val="left"/>
              <w:rPr>
                <w:rFonts w:hint="eastAsia"/>
              </w:rPr>
            </w:pPr>
            <w:r>
              <w:rPr>
                <w:rFonts w:hint="eastAsia"/>
                <w:b/>
                <w:sz w:val="24"/>
              </w:rPr>
              <w:t>2.2、水生生态减缓措施</w:t>
            </w:r>
          </w:p>
          <w:p>
            <w:pPr>
              <w:spacing w:line="360" w:lineRule="auto"/>
              <w:ind w:firstLine="480" w:firstLineChars="200"/>
              <w:rPr>
                <w:rFonts w:hint="eastAsia"/>
                <w:sz w:val="24"/>
              </w:rPr>
            </w:pPr>
            <w:r>
              <w:rPr>
                <w:rFonts w:hint="eastAsia"/>
                <w:sz w:val="24"/>
              </w:rPr>
              <w:t>（</w:t>
            </w:r>
            <w:r>
              <w:rPr>
                <w:sz w:val="24"/>
              </w:rPr>
              <w:t>1</w:t>
            </w:r>
            <w:r>
              <w:rPr>
                <w:rFonts w:hint="eastAsia"/>
                <w:sz w:val="24"/>
              </w:rPr>
              <w:t>）施工期间尽可能减少施工机械噪音和人为噪声，优先采取低噪音设备施工，并加强施工期噪声管理，减少施工噪声对鱼类影响。</w:t>
            </w:r>
          </w:p>
          <w:p>
            <w:pPr>
              <w:spacing w:line="360" w:lineRule="auto"/>
              <w:ind w:firstLine="480" w:firstLineChars="200"/>
              <w:rPr>
                <w:rFonts w:hint="eastAsia"/>
                <w:sz w:val="24"/>
              </w:rPr>
            </w:pPr>
            <w:r>
              <w:rPr>
                <w:rFonts w:hint="eastAsia"/>
                <w:sz w:val="24"/>
              </w:rPr>
              <w:t>（2）合理布置施工场地，将施工生产生活区布设在适当位置，防止散落物料随地表径流进入河流而影响河流水质。</w:t>
            </w:r>
          </w:p>
          <w:p>
            <w:pPr>
              <w:spacing w:line="360" w:lineRule="auto"/>
              <w:ind w:firstLine="480" w:firstLineChars="200"/>
              <w:rPr>
                <w:rFonts w:hint="eastAsia"/>
                <w:sz w:val="24"/>
              </w:rPr>
            </w:pPr>
            <w:r>
              <w:rPr>
                <w:rFonts w:hint="eastAsia"/>
                <w:sz w:val="24"/>
              </w:rPr>
              <w:t>（3）落实水土保持措施，防止陆域施工散落的物料、扰动地表产生的泥沙等颗粒物通过地表径流进入河流而影响施工河段水体的透明度，减小对鱼类影响，防止对鱼类索饵产生不利影响。</w:t>
            </w:r>
          </w:p>
          <w:p>
            <w:pPr>
              <w:spacing w:line="360" w:lineRule="auto"/>
              <w:ind w:firstLine="480" w:firstLineChars="200"/>
              <w:rPr>
                <w:rFonts w:hint="eastAsia"/>
              </w:rPr>
            </w:pPr>
            <w:r>
              <w:rPr>
                <w:rFonts w:hint="eastAsia"/>
                <w:sz w:val="24"/>
              </w:rPr>
              <w:t>（4）与当地渔业管理部门通力协作，加大渔政管理，加强施工期和运行期渔政执法力度，打击非法捕捞天然鱼类资源违法行为。</w:t>
            </w:r>
          </w:p>
          <w:p>
            <w:pPr>
              <w:widowControl/>
              <w:spacing w:line="360" w:lineRule="auto"/>
              <w:jc w:val="left"/>
              <w:rPr>
                <w:b/>
                <w:sz w:val="24"/>
              </w:rPr>
            </w:pPr>
            <w:r>
              <w:rPr>
                <w:rFonts w:hint="eastAsia"/>
                <w:b/>
                <w:sz w:val="24"/>
              </w:rPr>
              <w:t>3、其他措施</w:t>
            </w:r>
          </w:p>
          <w:p>
            <w:pPr>
              <w:adjustRightInd w:val="0"/>
              <w:snapToGrid w:val="0"/>
              <w:spacing w:line="360" w:lineRule="auto"/>
              <w:rPr>
                <w:rFonts w:hint="eastAsia"/>
                <w:b/>
                <w:sz w:val="24"/>
              </w:rPr>
            </w:pPr>
            <w:r>
              <w:rPr>
                <w:rFonts w:hint="eastAsia"/>
                <w:b/>
                <w:sz w:val="24"/>
              </w:rPr>
              <w:t>3.1、水环境保护措施</w:t>
            </w:r>
          </w:p>
          <w:p>
            <w:pPr>
              <w:adjustRightInd w:val="0"/>
              <w:snapToGrid w:val="0"/>
              <w:spacing w:line="360" w:lineRule="auto"/>
              <w:ind w:firstLine="480" w:firstLineChars="200"/>
              <w:rPr>
                <w:rFonts w:hint="eastAsia"/>
                <w:sz w:val="24"/>
              </w:rPr>
            </w:pPr>
            <w:r>
              <w:rPr>
                <w:rFonts w:hint="eastAsia"/>
                <w:sz w:val="24"/>
              </w:rPr>
              <w:t>（1）混凝土拌和及养护废水处理措施</w:t>
            </w:r>
          </w:p>
          <w:p>
            <w:pPr>
              <w:adjustRightInd w:val="0"/>
              <w:snapToGrid w:val="0"/>
              <w:spacing w:line="360" w:lineRule="auto"/>
              <w:ind w:firstLine="480" w:firstLineChars="200"/>
              <w:rPr>
                <w:sz w:val="24"/>
              </w:rPr>
            </w:pPr>
            <w:r>
              <w:rPr>
                <w:sz w:val="24"/>
              </w:rPr>
              <w:t>本工程共布设</w:t>
            </w:r>
            <w:r>
              <w:rPr>
                <w:rFonts w:hint="eastAsia"/>
                <w:sz w:val="24"/>
              </w:rPr>
              <w:t>1</w:t>
            </w:r>
            <w:r>
              <w:rPr>
                <w:sz w:val="24"/>
              </w:rPr>
              <w:t>处施工生产区</w:t>
            </w:r>
            <w:r>
              <w:rPr>
                <w:rFonts w:hint="eastAsia"/>
                <w:sz w:val="24"/>
              </w:rPr>
              <w:t>，1套混凝土拌和系统</w:t>
            </w:r>
            <w:r>
              <w:rPr>
                <w:sz w:val="24"/>
              </w:rPr>
              <w:t>。</w:t>
            </w:r>
          </w:p>
          <w:p>
            <w:pPr>
              <w:adjustRightInd w:val="0"/>
              <w:snapToGrid w:val="0"/>
              <w:spacing w:line="360" w:lineRule="auto"/>
              <w:ind w:firstLine="480" w:firstLineChars="200"/>
              <w:rPr>
                <w:sz w:val="24"/>
              </w:rPr>
            </w:pPr>
            <w:r>
              <w:rPr>
                <w:rFonts w:hint="eastAsia"/>
                <w:sz w:val="24"/>
              </w:rPr>
              <w:t>针对混凝土生产系统废水水量少、排放不连续且悬浮物浓度较高等特点，采用间歇式自然沉淀的方式去除易沉淀的砂粒。经预沉池除易沉淀的砂粒后，在沉淀池投加酸性中和剂。每个处理系统由平行布置的2座预沉池（1用1备）、1座沉淀池、1座清水池组成，并配置1台清水泵（回用泵）和2台潜污泵。每台班末的冲洗废水排入沉淀池内，静置沉淀至下一台班末后，上清液排入清水池回用于下一台班的冲洗，沉淀时间达6小时以上。沉淀池上清液自流进入清水池。每天按处理3个周期。池子</w:t>
            </w:r>
            <w:r>
              <w:rPr>
                <w:sz w:val="24"/>
              </w:rPr>
              <w:t>容积应不小于</w:t>
            </w:r>
            <w:r>
              <w:rPr>
                <w:rFonts w:hint="eastAsia"/>
                <w:sz w:val="24"/>
              </w:rPr>
              <w:t>1</w:t>
            </w:r>
            <w:r>
              <w:rPr>
                <w:sz w:val="24"/>
              </w:rPr>
              <w:t>次冲洗废水量。对</w:t>
            </w:r>
            <w:r>
              <w:rPr>
                <w:rFonts w:hint="eastAsia"/>
                <w:sz w:val="24"/>
              </w:rPr>
              <w:t>冲洗产生的废水不外排，循环利用</w:t>
            </w:r>
            <w:r>
              <w:rPr>
                <w:sz w:val="24"/>
              </w:rPr>
              <w:t>。对沉淀底泥可随机清淤，将</w:t>
            </w:r>
            <w:r>
              <w:rPr>
                <w:rFonts w:hint="eastAsia"/>
                <w:sz w:val="24"/>
              </w:rPr>
              <w:t>泥沙</w:t>
            </w:r>
            <w:r>
              <w:rPr>
                <w:sz w:val="24"/>
              </w:rPr>
              <w:t>送到</w:t>
            </w:r>
            <w:r>
              <w:rPr>
                <w:rFonts w:hint="eastAsia"/>
                <w:sz w:val="24"/>
              </w:rPr>
              <w:t>指定附近乡镇垃圾填埋场做</w:t>
            </w:r>
            <w:r>
              <w:rPr>
                <w:sz w:val="24"/>
              </w:rPr>
              <w:t>填埋处理。</w:t>
            </w:r>
            <w:r>
              <w:rPr>
                <w:rFonts w:hint="eastAsia"/>
                <w:sz w:val="24"/>
              </w:rPr>
              <w:t>混凝土拌和及养护废水处理工艺流程见图5.1-1。</w:t>
            </w:r>
          </w:p>
          <w:p>
            <w:pPr>
              <w:adjustRightInd w:val="0"/>
              <w:snapToGrid w:val="0"/>
              <w:jc w:val="center"/>
            </w:pPr>
            <w:r>
              <w:object>
                <v:shape id="_x0000_i1025" o:spt="75" type="#_x0000_t75" style="height:65.55pt;width:391pt;" o:ole="t" filled="f" o:preferrelative="t" stroked="f" coordsize="21600,21600">
                  <v:path/>
                  <v:fill on="f" focussize="0,0"/>
                  <v:stroke on="f"/>
                  <v:imagedata r:id="rId13" cropright="4337f" o:title=""/>
                  <o:lock v:ext="edit" aspectratio="t"/>
                  <w10:wrap type="none"/>
                  <w10:anchorlock/>
                </v:shape>
                <o:OLEObject Type="Embed" ProgID="Visio.Drawing.15" ShapeID="_x0000_i1025" DrawAspect="Content" ObjectID="_1468075725" r:id="rId12">
                  <o:LockedField>false</o:LockedField>
                </o:OLEObject>
              </w:object>
            </w:r>
          </w:p>
          <w:p>
            <w:pPr>
              <w:adjustRightInd w:val="0"/>
              <w:snapToGrid w:val="0"/>
              <w:ind w:firstLine="480"/>
              <w:jc w:val="center"/>
              <w:rPr>
                <w:b/>
                <w:sz w:val="24"/>
              </w:rPr>
            </w:pPr>
            <w:r>
              <w:rPr>
                <w:b/>
                <w:sz w:val="24"/>
              </w:rPr>
              <w:t>图</w:t>
            </w:r>
            <w:r>
              <w:rPr>
                <w:rFonts w:hint="eastAsia"/>
                <w:b/>
                <w:sz w:val="24"/>
              </w:rPr>
              <w:t>5.1</w:t>
            </w:r>
            <w:r>
              <w:rPr>
                <w:b/>
                <w:sz w:val="24"/>
              </w:rPr>
              <w:t>-1</w:t>
            </w:r>
            <w:r>
              <w:rPr>
                <w:rFonts w:hint="eastAsia"/>
                <w:b/>
                <w:sz w:val="24"/>
              </w:rPr>
              <w:t xml:space="preserve"> 混凝土拌和及养护废水</w:t>
            </w:r>
            <w:r>
              <w:rPr>
                <w:b/>
                <w:sz w:val="24"/>
              </w:rPr>
              <w:t>处理工艺流程图</w:t>
            </w:r>
          </w:p>
          <w:p>
            <w:pPr>
              <w:adjustRightInd w:val="0"/>
              <w:snapToGrid w:val="0"/>
              <w:spacing w:line="360" w:lineRule="auto"/>
              <w:ind w:firstLine="480" w:firstLineChars="200"/>
              <w:rPr>
                <w:rFonts w:hint="eastAsia"/>
                <w:sz w:val="24"/>
              </w:rPr>
            </w:pPr>
          </w:p>
          <w:p>
            <w:pPr>
              <w:adjustRightInd w:val="0"/>
              <w:snapToGrid w:val="0"/>
              <w:spacing w:line="360" w:lineRule="auto"/>
              <w:ind w:firstLine="480" w:firstLineChars="200"/>
              <w:rPr>
                <w:rFonts w:hint="eastAsia"/>
                <w:sz w:val="24"/>
              </w:rPr>
            </w:pPr>
          </w:p>
          <w:p>
            <w:pPr>
              <w:adjustRightInd w:val="0"/>
              <w:snapToGrid w:val="0"/>
              <w:spacing w:line="360" w:lineRule="auto"/>
              <w:ind w:firstLine="480" w:firstLineChars="200"/>
              <w:rPr>
                <w:sz w:val="24"/>
              </w:rPr>
            </w:pPr>
            <w:r>
              <w:rPr>
                <w:rFonts w:hint="eastAsia"/>
                <w:sz w:val="24"/>
              </w:rPr>
              <w:t>（2）基坑排水处理</w:t>
            </w:r>
          </w:p>
          <w:p>
            <w:pPr>
              <w:adjustRightInd w:val="0"/>
              <w:snapToGrid w:val="0"/>
              <w:spacing w:line="360" w:lineRule="auto"/>
              <w:ind w:firstLine="480" w:firstLineChars="200"/>
              <w:rPr>
                <w:sz w:val="24"/>
              </w:rPr>
            </w:pPr>
            <w:r>
              <w:rPr>
                <w:rFonts w:hint="eastAsia"/>
                <w:sz w:val="24"/>
              </w:rPr>
              <w:t>本项目在泄洪闸围堰内或附近布设1套基坑排水处理设施，共计1套。</w:t>
            </w:r>
          </w:p>
          <w:p>
            <w:pPr>
              <w:adjustRightInd w:val="0"/>
              <w:snapToGrid w:val="0"/>
              <w:spacing w:line="360" w:lineRule="auto"/>
              <w:ind w:firstLine="480" w:firstLineChars="200"/>
              <w:rPr>
                <w:sz w:val="24"/>
              </w:rPr>
            </w:pPr>
            <w:r>
              <w:rPr>
                <w:rFonts w:hint="eastAsia"/>
                <w:sz w:val="24"/>
              </w:rPr>
              <w:t>基坑排水的处理经验，一般只处理经常性排水部分。在基坑内布置沉淀池，并投加絮凝剂和中和剂，静置沉淀12h后，用于洒水降尘等，不排入外环境。剩余底泥定期人工清除。这种基坑废水处理技术措施实用有效，经济合理，可有效解决基坑排水问题。基坑排水处理</w:t>
            </w:r>
            <w:r>
              <w:rPr>
                <w:sz w:val="24"/>
              </w:rPr>
              <w:t>工艺流程如图</w:t>
            </w:r>
            <w:r>
              <w:rPr>
                <w:rFonts w:hint="eastAsia"/>
                <w:sz w:val="24"/>
              </w:rPr>
              <w:t>5.1-2</w:t>
            </w:r>
            <w:r>
              <w:rPr>
                <w:sz w:val="24"/>
              </w:rPr>
              <w:t>。</w:t>
            </w:r>
          </w:p>
          <w:p>
            <w:pPr>
              <w:adjustRightInd w:val="0"/>
              <w:snapToGrid w:val="0"/>
              <w:jc w:val="center"/>
            </w:pPr>
            <w:r>
              <w:drawing>
                <wp:inline distT="0" distB="0" distL="114300" distR="114300">
                  <wp:extent cx="4961890" cy="955675"/>
                  <wp:effectExtent l="0" t="0" r="10160" b="16510"/>
                  <wp:docPr id="22" name="图片 8" descr="说明: 说明: C:\Users\hp8174\AppData\Local\Temp\ksohtml902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说明: 说明: C:\Users\hp8174\AppData\Local\Temp\ksohtml9024\wps2.png"/>
                          <pic:cNvPicPr>
                            <a:picLocks noChangeAspect="1"/>
                          </pic:cNvPicPr>
                        </pic:nvPicPr>
                        <pic:blipFill>
                          <a:blip r:embed="rId14"/>
                          <a:stretch>
                            <a:fillRect/>
                          </a:stretch>
                        </pic:blipFill>
                        <pic:spPr>
                          <a:xfrm>
                            <a:off x="0" y="0"/>
                            <a:ext cx="4961890" cy="955675"/>
                          </a:xfrm>
                          <a:prstGeom prst="rect">
                            <a:avLst/>
                          </a:prstGeom>
                          <a:noFill/>
                          <a:ln>
                            <a:noFill/>
                          </a:ln>
                        </pic:spPr>
                      </pic:pic>
                    </a:graphicData>
                  </a:graphic>
                </wp:inline>
              </w:drawing>
            </w:r>
          </w:p>
          <w:p>
            <w:pPr>
              <w:adjustRightInd w:val="0"/>
              <w:snapToGrid w:val="0"/>
              <w:ind w:firstLine="480"/>
              <w:jc w:val="center"/>
              <w:rPr>
                <w:b/>
                <w:sz w:val="24"/>
              </w:rPr>
            </w:pPr>
            <w:r>
              <w:rPr>
                <w:b/>
                <w:sz w:val="24"/>
              </w:rPr>
              <w:t>图</w:t>
            </w:r>
            <w:r>
              <w:rPr>
                <w:rFonts w:hint="eastAsia"/>
                <w:b/>
                <w:sz w:val="24"/>
              </w:rPr>
              <w:t>5.1</w:t>
            </w:r>
            <w:r>
              <w:rPr>
                <w:b/>
                <w:sz w:val="24"/>
              </w:rPr>
              <w:t>-</w:t>
            </w:r>
            <w:r>
              <w:rPr>
                <w:rFonts w:hint="eastAsia"/>
                <w:b/>
                <w:sz w:val="24"/>
              </w:rPr>
              <w:t>2基坑排水处理工艺流程图</w:t>
            </w:r>
          </w:p>
          <w:p>
            <w:pPr>
              <w:adjustRightInd w:val="0"/>
              <w:snapToGrid w:val="0"/>
              <w:spacing w:line="360" w:lineRule="auto"/>
              <w:ind w:firstLine="480" w:firstLineChars="200"/>
              <w:rPr>
                <w:sz w:val="24"/>
              </w:rPr>
            </w:pPr>
            <w:r>
              <w:rPr>
                <w:rFonts w:hint="eastAsia"/>
                <w:sz w:val="24"/>
              </w:rPr>
              <w:t>（3</w:t>
            </w:r>
            <w:r>
              <w:rPr>
                <w:sz w:val="24"/>
              </w:rPr>
              <w:t>）生活污水</w:t>
            </w:r>
            <w:r>
              <w:rPr>
                <w:rFonts w:hint="eastAsia"/>
                <w:sz w:val="24"/>
              </w:rPr>
              <w:t>处理措施</w:t>
            </w:r>
          </w:p>
          <w:p>
            <w:pPr>
              <w:adjustRightInd w:val="0"/>
              <w:snapToGrid w:val="0"/>
              <w:spacing w:line="360" w:lineRule="auto"/>
              <w:ind w:firstLine="480" w:firstLineChars="200"/>
              <w:rPr>
                <w:rFonts w:hint="eastAsia"/>
                <w:sz w:val="24"/>
              </w:rPr>
            </w:pPr>
            <w:r>
              <w:rPr>
                <w:rFonts w:hint="eastAsia"/>
                <w:sz w:val="24"/>
              </w:rPr>
              <w:t>本项目施工布设1处临时生活区，</w:t>
            </w:r>
            <w:r>
              <w:rPr>
                <w:sz w:val="24"/>
              </w:rPr>
              <w:t>施工</w:t>
            </w:r>
            <w:r>
              <w:rPr>
                <w:rFonts w:hint="eastAsia"/>
                <w:sz w:val="24"/>
              </w:rPr>
              <w:t>期</w:t>
            </w:r>
            <w:r>
              <w:rPr>
                <w:sz w:val="24"/>
              </w:rPr>
              <w:t>高峰人数为</w:t>
            </w:r>
            <w:r>
              <w:rPr>
                <w:rFonts w:hint="eastAsia"/>
                <w:sz w:val="24"/>
              </w:rPr>
              <w:t>36</w:t>
            </w:r>
            <w:r>
              <w:rPr>
                <w:sz w:val="24"/>
              </w:rPr>
              <w:t>人</w:t>
            </w:r>
            <w:r>
              <w:rPr>
                <w:rFonts w:hint="eastAsia"/>
                <w:sz w:val="24"/>
              </w:rPr>
              <w:t>。</w:t>
            </w:r>
          </w:p>
          <w:p>
            <w:pPr>
              <w:adjustRightInd w:val="0"/>
              <w:snapToGrid w:val="0"/>
              <w:spacing w:line="360" w:lineRule="auto"/>
              <w:ind w:firstLine="480" w:firstLineChars="200"/>
              <w:rPr>
                <w:rFonts w:hint="eastAsia"/>
                <w:sz w:val="24"/>
              </w:rPr>
            </w:pPr>
            <w:r>
              <w:rPr>
                <w:sz w:val="24"/>
              </w:rPr>
              <w:t>在临时生活区采取修建</w:t>
            </w:r>
            <w:r>
              <w:rPr>
                <w:rFonts w:hint="eastAsia"/>
                <w:sz w:val="24"/>
              </w:rPr>
              <w:t>1个环保型</w:t>
            </w:r>
            <w:r>
              <w:rPr>
                <w:sz w:val="24"/>
              </w:rPr>
              <w:t>防渗旱厕</w:t>
            </w:r>
            <w:r>
              <w:rPr>
                <w:rFonts w:hint="eastAsia"/>
                <w:sz w:val="24"/>
              </w:rPr>
              <w:t>，防渗厕所配置不少于6个蹲位，并配套建设1个化粪池</w:t>
            </w:r>
            <w:r>
              <w:rPr>
                <w:sz w:val="24"/>
              </w:rPr>
              <w:t>，</w:t>
            </w:r>
            <w:r>
              <w:rPr>
                <w:rFonts w:hint="eastAsia"/>
                <w:sz w:val="24"/>
              </w:rPr>
              <w:t>有效容积不小于4m</w:t>
            </w:r>
            <w:r>
              <w:rPr>
                <w:rFonts w:hint="eastAsia"/>
                <w:sz w:val="24"/>
                <w:vertAlign w:val="superscript"/>
              </w:rPr>
              <w:t>3</w:t>
            </w:r>
            <w:r>
              <w:rPr>
                <w:rFonts w:hint="eastAsia"/>
                <w:sz w:val="24"/>
              </w:rPr>
              <w:t>，收集并处理生活污水</w:t>
            </w:r>
            <w:r>
              <w:rPr>
                <w:sz w:val="24"/>
              </w:rPr>
              <w:t>，</w:t>
            </w:r>
            <w:r>
              <w:rPr>
                <w:rFonts w:hint="eastAsia"/>
                <w:sz w:val="24"/>
              </w:rPr>
              <w:t>共计1个环保型防渗旱厕和1个化粪池。施工人员日常生活过程中产生的生活污水排放到环保型防渗旱厕内后进入化粪池，防渗旱厕定期消毒，化粪池用吸粪车定期抽出外运。</w:t>
            </w:r>
          </w:p>
          <w:p>
            <w:pPr>
              <w:spacing w:line="360" w:lineRule="auto"/>
              <w:ind w:firstLine="480" w:firstLineChars="200"/>
              <w:rPr>
                <w:sz w:val="24"/>
              </w:rPr>
            </w:pPr>
            <w:r>
              <w:rPr>
                <w:sz w:val="24"/>
              </w:rPr>
              <w:t>（</w:t>
            </w:r>
            <w:r>
              <w:rPr>
                <w:rFonts w:hint="eastAsia"/>
                <w:sz w:val="24"/>
              </w:rPr>
              <w:t>4</w:t>
            </w:r>
            <w:r>
              <w:rPr>
                <w:sz w:val="24"/>
              </w:rPr>
              <w:t>）</w:t>
            </w:r>
            <w:r>
              <w:rPr>
                <w:rFonts w:hint="eastAsia"/>
                <w:sz w:val="24"/>
              </w:rPr>
              <w:t>含油废水</w:t>
            </w:r>
            <w:r>
              <w:rPr>
                <w:sz w:val="24"/>
              </w:rPr>
              <w:t>处理措施</w:t>
            </w:r>
          </w:p>
          <w:p>
            <w:pPr>
              <w:spacing w:line="360" w:lineRule="auto"/>
              <w:ind w:firstLine="480" w:firstLineChars="200"/>
              <w:rPr>
                <w:rFonts w:hint="eastAsia"/>
                <w:sz w:val="24"/>
              </w:rPr>
            </w:pPr>
            <w:bookmarkStart w:id="28" w:name="_Hlk3463260"/>
            <w:r>
              <w:rPr>
                <w:rFonts w:hint="eastAsia"/>
                <w:sz w:val="24"/>
              </w:rPr>
              <w:t>施工机械、车辆维修和保养均依托当地机修厂，施工现场不单独布设机修厂，不涉及含油废水。</w:t>
            </w:r>
          </w:p>
          <w:p>
            <w:pPr>
              <w:spacing w:line="360" w:lineRule="auto"/>
              <w:ind w:firstLine="480" w:firstLineChars="200"/>
              <w:rPr>
                <w:rFonts w:hint="eastAsia"/>
                <w:sz w:val="24"/>
              </w:rPr>
            </w:pPr>
            <w:r>
              <w:rPr>
                <w:rFonts w:hint="eastAsia"/>
                <w:sz w:val="24"/>
              </w:rPr>
              <w:t>严禁现场拆卸故障车辆，一旦车辆出现问题应由拖车运至当地机修厂进行处理，防止现场产生含油废水。</w:t>
            </w:r>
          </w:p>
          <w:bookmarkEnd w:id="28"/>
          <w:p>
            <w:pPr>
              <w:adjustRightInd w:val="0"/>
              <w:snapToGrid w:val="0"/>
              <w:spacing w:line="360" w:lineRule="auto"/>
              <w:rPr>
                <w:sz w:val="24"/>
              </w:rPr>
            </w:pPr>
            <w:r>
              <w:rPr>
                <w:rFonts w:hint="eastAsia"/>
                <w:b/>
                <w:sz w:val="24"/>
              </w:rPr>
              <w:t>3.2、</w:t>
            </w:r>
            <w:r>
              <w:rPr>
                <w:b/>
                <w:sz w:val="24"/>
              </w:rPr>
              <w:t>环境空气保护措施</w:t>
            </w:r>
          </w:p>
          <w:p>
            <w:pPr>
              <w:adjustRightInd w:val="0"/>
              <w:snapToGrid w:val="0"/>
              <w:spacing w:line="360" w:lineRule="auto"/>
              <w:ind w:firstLine="480" w:firstLineChars="200"/>
              <w:rPr>
                <w:rFonts w:hint="eastAsia"/>
                <w:sz w:val="24"/>
              </w:rPr>
            </w:pPr>
            <w:r>
              <w:rPr>
                <w:rFonts w:hint="eastAsia"/>
                <w:sz w:val="24"/>
              </w:rPr>
              <w:t>（1）土方开挖防尘</w:t>
            </w:r>
          </w:p>
          <w:p>
            <w:pPr>
              <w:adjustRightInd w:val="0"/>
              <w:snapToGrid w:val="0"/>
              <w:spacing w:line="360" w:lineRule="auto"/>
              <w:ind w:firstLine="480" w:firstLineChars="200"/>
              <w:rPr>
                <w:rFonts w:hint="eastAsia"/>
                <w:sz w:val="24"/>
              </w:rPr>
            </w:pPr>
            <w:r>
              <w:rPr>
                <w:rFonts w:hint="eastAsia"/>
                <w:sz w:val="24"/>
              </w:rPr>
              <w:t>土方工程包括土的开挖、运输和填筑等施工过程中，应洒水使作业面保持一定的湿度；对施工场地内松散、干涸的表土，也应辅以洒水压尘，尽量缩短起尘操作时间。遇到四级及四级以上大风天气，应停止土方作业，同时作业处覆以防尘网。洒水对小范围施工裸土自然扬尘有明显的抑制效果，工程施工单位应购买/租用洒水车，根据天气情况对产尘作业面进行洒水。土质表层洒水压尘效果的关键是控制洒水量和经常有人维护。</w:t>
            </w:r>
          </w:p>
          <w:p>
            <w:pPr>
              <w:adjustRightInd w:val="0"/>
              <w:snapToGrid w:val="0"/>
              <w:spacing w:line="360" w:lineRule="auto"/>
              <w:ind w:firstLine="480" w:firstLineChars="200"/>
              <w:rPr>
                <w:rFonts w:hint="eastAsia"/>
                <w:sz w:val="24"/>
              </w:rPr>
            </w:pPr>
            <w:r>
              <w:rPr>
                <w:rFonts w:hint="eastAsia"/>
                <w:sz w:val="24"/>
              </w:rPr>
              <w:t>（2）材料运输防尘</w:t>
            </w:r>
          </w:p>
          <w:p>
            <w:pPr>
              <w:adjustRightInd w:val="0"/>
              <w:snapToGrid w:val="0"/>
              <w:spacing w:line="360" w:lineRule="auto"/>
              <w:ind w:firstLine="480" w:firstLineChars="200"/>
              <w:rPr>
                <w:rFonts w:hint="eastAsia"/>
                <w:sz w:val="24"/>
              </w:rPr>
            </w:pPr>
            <w:r>
              <w:rPr>
                <w:rFonts w:hint="eastAsia"/>
                <w:sz w:val="24"/>
              </w:rPr>
              <w:t>土料和水泥运输过程中应注意防止空气污染。在晴朗多风天气，装载土料时，应当加湿或者用帆布覆盖。运送散装水泥车辆的储罐应保持良好的密封状态，运用袋装水泥必须覆盖封闭。运输车辆途经村屯等人口密集区，应当控制车速；施工区应配备洒水车，在干燥季节每日对施工运输车辆经过的环境敏感地段洒水4～6次。</w:t>
            </w:r>
          </w:p>
          <w:p>
            <w:pPr>
              <w:adjustRightInd w:val="0"/>
              <w:snapToGrid w:val="0"/>
              <w:spacing w:line="360" w:lineRule="auto"/>
              <w:ind w:firstLine="480" w:firstLineChars="200"/>
              <w:rPr>
                <w:rFonts w:hint="eastAsia"/>
                <w:sz w:val="24"/>
              </w:rPr>
            </w:pPr>
            <w:r>
              <w:rPr>
                <w:rFonts w:hint="eastAsia"/>
                <w:sz w:val="24"/>
              </w:rPr>
              <w:t>（3）物料堆积时的扬尘</w:t>
            </w:r>
          </w:p>
          <w:p>
            <w:pPr>
              <w:adjustRightInd w:val="0"/>
              <w:snapToGrid w:val="0"/>
              <w:spacing w:line="360" w:lineRule="auto"/>
              <w:ind w:firstLine="480" w:firstLineChars="200"/>
              <w:rPr>
                <w:rFonts w:hint="eastAsia"/>
                <w:sz w:val="24"/>
              </w:rPr>
            </w:pPr>
            <w:r>
              <w:rPr>
                <w:rFonts w:hint="eastAsia"/>
                <w:sz w:val="24"/>
              </w:rPr>
              <w:t>土料堆积过程中，边坡不宜过大；散装水泥应尽可能避免露天堆放。对风大易起尘的施工现场堆置的原土及回填土，用防尘网覆盖，可有效防止扬尘。充分利用经处理后的施工废水定期对表层进行喷水雾化，遇干旱天气或大风天气应随时喷水防止扬尘。</w:t>
            </w:r>
          </w:p>
          <w:p>
            <w:pPr>
              <w:adjustRightInd w:val="0"/>
              <w:snapToGrid w:val="0"/>
              <w:spacing w:line="360" w:lineRule="auto"/>
              <w:ind w:firstLine="480" w:firstLineChars="200"/>
              <w:rPr>
                <w:rFonts w:hint="eastAsia"/>
                <w:sz w:val="24"/>
              </w:rPr>
            </w:pPr>
            <w:r>
              <w:rPr>
                <w:rFonts w:hint="eastAsia"/>
                <w:sz w:val="24"/>
              </w:rPr>
              <w:t>（4）混凝土拌和系统粉尘控制措施</w:t>
            </w:r>
          </w:p>
          <w:p>
            <w:pPr>
              <w:adjustRightInd w:val="0"/>
              <w:snapToGrid w:val="0"/>
              <w:spacing w:line="360" w:lineRule="auto"/>
              <w:ind w:firstLine="480" w:firstLineChars="200"/>
              <w:rPr>
                <w:rFonts w:hint="eastAsia"/>
                <w:sz w:val="24"/>
              </w:rPr>
            </w:pPr>
            <w:r>
              <w:rPr>
                <w:rFonts w:hint="eastAsia"/>
                <w:sz w:val="24"/>
              </w:rPr>
              <w:t>混凝土生产系统附近辅以洒水降尘措施，使粉尘影响时间和范围得到缩减。在混凝土拌和楼作业区进行洒水，降低场地粉尘排放；混凝土系统作业人员应加强劳动安全和卫生保护，必须佩戴防尘口罩等个人防护用品。</w:t>
            </w:r>
          </w:p>
          <w:p>
            <w:pPr>
              <w:adjustRightInd w:val="0"/>
              <w:snapToGrid w:val="0"/>
              <w:spacing w:line="360" w:lineRule="auto"/>
              <w:ind w:firstLine="480" w:firstLineChars="200"/>
              <w:rPr>
                <w:rFonts w:hint="eastAsia"/>
                <w:sz w:val="24"/>
              </w:rPr>
            </w:pPr>
            <w:r>
              <w:rPr>
                <w:rFonts w:hint="eastAsia"/>
                <w:sz w:val="24"/>
              </w:rPr>
              <w:t>（5）环境敏感点防尘</w:t>
            </w:r>
          </w:p>
          <w:p>
            <w:pPr>
              <w:adjustRightInd w:val="0"/>
              <w:snapToGrid w:val="0"/>
              <w:spacing w:line="360" w:lineRule="auto"/>
              <w:ind w:firstLine="480" w:firstLineChars="200"/>
              <w:rPr>
                <w:rFonts w:hint="eastAsia"/>
                <w:sz w:val="24"/>
              </w:rPr>
            </w:pPr>
            <w:r>
              <w:rPr>
                <w:rFonts w:hint="eastAsia"/>
                <w:sz w:val="24"/>
              </w:rPr>
              <w:t>本项目施工区及附近不涉及大气环境敏感点。</w:t>
            </w:r>
          </w:p>
          <w:p>
            <w:pPr>
              <w:adjustRightInd w:val="0"/>
              <w:snapToGrid w:val="0"/>
              <w:spacing w:line="360" w:lineRule="auto"/>
              <w:ind w:firstLine="480" w:firstLineChars="200"/>
              <w:rPr>
                <w:rFonts w:hint="eastAsia"/>
                <w:sz w:val="24"/>
              </w:rPr>
            </w:pPr>
            <w:r>
              <w:rPr>
                <w:rFonts w:hint="eastAsia"/>
                <w:sz w:val="24"/>
              </w:rPr>
              <w:t>主要对施工道路及运输道路两侧居民点采取防尘措施。施工道路在路基形成后应及时碾压、洒水，以保持湿润状态。运输道路要求每天至少上、下午和傍晚各洒水1次。同时要求运输车辆应放慢行驶速度，尤其是在经过居民点时，避免扬尘对居民点大气环境的影响。</w:t>
            </w:r>
          </w:p>
          <w:p>
            <w:pPr>
              <w:spacing w:line="360" w:lineRule="auto"/>
              <w:rPr>
                <w:b/>
                <w:sz w:val="24"/>
              </w:rPr>
            </w:pPr>
            <w:r>
              <w:rPr>
                <w:rFonts w:hint="eastAsia"/>
                <w:b/>
                <w:sz w:val="24"/>
              </w:rPr>
              <w:t>3.3、</w:t>
            </w:r>
            <w:r>
              <w:rPr>
                <w:b/>
                <w:sz w:val="24"/>
              </w:rPr>
              <w:t>声环境保护措施</w:t>
            </w:r>
          </w:p>
          <w:p>
            <w:pPr>
              <w:adjustRightInd w:val="0"/>
              <w:snapToGrid w:val="0"/>
              <w:spacing w:line="360" w:lineRule="auto"/>
              <w:ind w:firstLine="480" w:firstLineChars="200"/>
              <w:rPr>
                <w:rFonts w:hint="eastAsia"/>
                <w:sz w:val="24"/>
              </w:rPr>
            </w:pPr>
            <w:r>
              <w:rPr>
                <w:rFonts w:hint="eastAsia"/>
                <w:sz w:val="24"/>
              </w:rPr>
              <w:t>（1）施工企业噪声控制</w:t>
            </w:r>
          </w:p>
          <w:p>
            <w:pPr>
              <w:adjustRightInd w:val="0"/>
              <w:snapToGrid w:val="0"/>
              <w:spacing w:line="360" w:lineRule="auto"/>
              <w:ind w:firstLine="480" w:firstLineChars="200"/>
              <w:rPr>
                <w:rFonts w:hint="eastAsia"/>
                <w:sz w:val="24"/>
              </w:rPr>
            </w:pPr>
            <w:r>
              <w:rPr>
                <w:rFonts w:hint="eastAsia"/>
                <w:sz w:val="24"/>
              </w:rPr>
              <w:t>对于施工企业噪声控制，采用如下控制措施：施工单位必须选用符合国家有关标准的施工机具，尽量选择低噪声设备和工艺，降低源强；加强设备的维护和保养，保持机械润滑，减少运行噪声；振动大的机械设备使用减振机座降低噪声；工程供风站的空压机配备消声器；渠道沿线分布有一些居民点，在这些区域施工时，尽量采用小型人工机械，不采用大型机械；在各施工工区周围进行绿化，可适当降低噪声传播。</w:t>
            </w:r>
          </w:p>
          <w:p>
            <w:pPr>
              <w:adjustRightInd w:val="0"/>
              <w:snapToGrid w:val="0"/>
              <w:spacing w:line="360" w:lineRule="auto"/>
              <w:ind w:firstLine="480" w:firstLineChars="200"/>
              <w:rPr>
                <w:rFonts w:hint="eastAsia"/>
                <w:sz w:val="24"/>
              </w:rPr>
            </w:pPr>
            <w:r>
              <w:rPr>
                <w:rFonts w:hint="eastAsia"/>
                <w:sz w:val="24"/>
              </w:rPr>
              <w:t>（2）交通噪声控制</w:t>
            </w:r>
          </w:p>
          <w:p>
            <w:pPr>
              <w:adjustRightInd w:val="0"/>
              <w:snapToGrid w:val="0"/>
              <w:spacing w:line="360" w:lineRule="auto"/>
              <w:ind w:firstLine="480" w:firstLineChars="200"/>
              <w:rPr>
                <w:rFonts w:hint="eastAsia"/>
                <w:sz w:val="24"/>
              </w:rPr>
            </w:pPr>
            <w:r>
              <w:rPr>
                <w:rFonts w:hint="eastAsia"/>
                <w:sz w:val="24"/>
              </w:rPr>
              <w:t>工程实际运行中，应尽量避免在夜间进行施工运输作业；加强道路的养护和车辆的维护保养，严禁车辆超载行驶，降低噪声源，以确保不因工程管理不当造成的噪声扰民现象发生。施工道路选线距离两侧居民区较近的路段，禁止夜间运输、控制车流量、降低车速，车辆经过村镇时减速慢行，禁止鸣笛，并设置标志牌或警示标志等。</w:t>
            </w:r>
          </w:p>
          <w:p>
            <w:pPr>
              <w:adjustRightInd w:val="0"/>
              <w:snapToGrid w:val="0"/>
              <w:spacing w:line="360" w:lineRule="auto"/>
              <w:ind w:firstLine="480" w:firstLineChars="200"/>
              <w:rPr>
                <w:rFonts w:hint="eastAsia"/>
                <w:sz w:val="24"/>
              </w:rPr>
            </w:pPr>
            <w:r>
              <w:rPr>
                <w:rFonts w:hint="eastAsia"/>
                <w:sz w:val="24"/>
              </w:rPr>
              <w:t>（3）敏感点噪声控制</w:t>
            </w:r>
          </w:p>
          <w:p>
            <w:pPr>
              <w:adjustRightInd w:val="0"/>
              <w:snapToGrid w:val="0"/>
              <w:spacing w:line="360" w:lineRule="auto"/>
              <w:ind w:firstLine="480" w:firstLineChars="200"/>
              <w:rPr>
                <w:rFonts w:hint="eastAsia"/>
                <w:sz w:val="24"/>
              </w:rPr>
            </w:pPr>
            <w:r>
              <w:rPr>
                <w:rFonts w:hint="eastAsia"/>
                <w:sz w:val="24"/>
              </w:rPr>
              <w:t>本项目施工场地外围200m范围内没有村屯等声环境敏感点分布，不涉及敏感点噪声控制问题。</w:t>
            </w:r>
          </w:p>
          <w:p>
            <w:pPr>
              <w:spacing w:line="360" w:lineRule="auto"/>
              <w:rPr>
                <w:b/>
                <w:sz w:val="24"/>
              </w:rPr>
            </w:pPr>
            <w:r>
              <w:rPr>
                <w:rFonts w:hint="eastAsia"/>
                <w:b/>
                <w:sz w:val="24"/>
              </w:rPr>
              <w:t>3.4、</w:t>
            </w:r>
            <w:r>
              <w:rPr>
                <w:b/>
                <w:sz w:val="24"/>
              </w:rPr>
              <w:t>固体废物保护措施</w:t>
            </w:r>
          </w:p>
          <w:p>
            <w:pPr>
              <w:adjustRightInd w:val="0"/>
              <w:snapToGrid w:val="0"/>
              <w:spacing w:line="360" w:lineRule="auto"/>
              <w:ind w:firstLine="480" w:firstLineChars="200"/>
              <w:rPr>
                <w:rFonts w:hint="eastAsia"/>
                <w:sz w:val="24"/>
              </w:rPr>
            </w:pPr>
            <w:r>
              <w:rPr>
                <w:rFonts w:hint="eastAsia"/>
                <w:sz w:val="24"/>
              </w:rPr>
              <w:t>（1）根据施工组织设计，本项目不涉及永久工程弃渣，围堰拆除、工程弃土、建筑拆除砼及砌石等，待工程施工结束后全部回填永久占地范围内冲坑中。</w:t>
            </w:r>
          </w:p>
          <w:p>
            <w:pPr>
              <w:adjustRightInd w:val="0"/>
              <w:snapToGrid w:val="0"/>
              <w:spacing w:line="360" w:lineRule="auto"/>
              <w:ind w:firstLine="480" w:firstLineChars="200"/>
              <w:rPr>
                <w:rFonts w:hint="eastAsia"/>
                <w:sz w:val="24"/>
              </w:rPr>
            </w:pPr>
            <w:r>
              <w:rPr>
                <w:rFonts w:hint="eastAsia"/>
                <w:sz w:val="24"/>
              </w:rPr>
              <w:t>（2）根据施工生产生活区分布情况，在临时生活区内配置2个垃圾箱，共计2个，垃圾箱规格为240L。集中收集日常生活中产生的垃圾，安排专人负责生活垃圾的清扫，经常对垃圾箱喷洒灭害灵等药水，防止苍蝇等传染媒介滋生，减少生活垃圾对周围环境和施工人员的影响，及时转运到指定的市政垃圾处理场。</w:t>
            </w:r>
          </w:p>
          <w:p>
            <w:pPr>
              <w:spacing w:before="120" w:beforeLines="50" w:line="360" w:lineRule="auto"/>
              <w:rPr>
                <w:b/>
                <w:sz w:val="24"/>
              </w:rPr>
            </w:pPr>
            <w:r>
              <w:rPr>
                <w:rFonts w:hint="eastAsia"/>
                <w:b/>
                <w:sz w:val="24"/>
              </w:rPr>
              <w:t>3.5、</w:t>
            </w:r>
            <w:r>
              <w:rPr>
                <w:b/>
                <w:sz w:val="24"/>
              </w:rPr>
              <w:t>人群健康保护措施</w:t>
            </w:r>
          </w:p>
          <w:p>
            <w:pPr>
              <w:adjustRightInd w:val="0"/>
              <w:snapToGrid w:val="0"/>
              <w:spacing w:line="360" w:lineRule="auto"/>
              <w:ind w:firstLine="480" w:firstLineChars="200"/>
              <w:rPr>
                <w:rFonts w:hint="eastAsia" w:ascii="宋体" w:hAnsi="宋体"/>
                <w:sz w:val="24"/>
              </w:rPr>
            </w:pPr>
            <w:r>
              <w:rPr>
                <w:rFonts w:hint="eastAsia" w:ascii="宋体" w:hAnsi="宋体"/>
                <w:sz w:val="24"/>
              </w:rPr>
              <w:t>在工程准备期，结合场地平整工作，对施工区分别进行一次卫生清理。施工人员进入施工现场前要进行严格的健康检查，患有传染病的人员不得进入施工现场，防止流行性传染病的发生。</w:t>
            </w:r>
            <w:r>
              <w:rPr>
                <w:rFonts w:hint="eastAsia"/>
                <w:sz w:val="24"/>
              </w:rPr>
              <w:t>施工期（6个月）对工地施工人员按总人数100%的比例进行身体健康状况检查，直至工程结束，共计36人·次，</w:t>
            </w:r>
            <w:r>
              <w:rPr>
                <w:rFonts w:hint="eastAsia" w:ascii="宋体" w:hAnsi="宋体"/>
                <w:sz w:val="24"/>
              </w:rPr>
              <w:t>发现传染病要及时隔离治疗。</w:t>
            </w:r>
          </w:p>
          <w:p>
            <w:pPr>
              <w:adjustRightInd w:val="0"/>
              <w:snapToGrid w:val="0"/>
              <w:spacing w:line="360" w:lineRule="auto"/>
              <w:ind w:firstLine="480" w:firstLineChars="200"/>
              <w:rPr>
                <w:rFonts w:hint="eastAsia" w:ascii="宋体" w:hAnsi="宋体"/>
                <w:sz w:val="24"/>
              </w:rPr>
            </w:pPr>
            <w:r>
              <w:rPr>
                <w:rFonts w:hint="eastAsia" w:ascii="宋体" w:hAnsi="宋体"/>
                <w:sz w:val="24"/>
              </w:rPr>
              <w:t>加强食品卫生监督管理，注意生活饮用水卫生，施工人员不饮用生水。搞好施工区环境卫生，妥善处理施工区生活垃圾。</w:t>
            </w:r>
          </w:p>
          <w:p>
            <w:pPr>
              <w:adjustRightInd w:val="0"/>
              <w:snapToGrid w:val="0"/>
              <w:spacing w:line="360" w:lineRule="auto"/>
              <w:ind w:firstLine="480" w:firstLineChars="200"/>
              <w:rPr>
                <w:rFonts w:hint="eastAsia" w:ascii="宋体" w:hAnsi="宋体"/>
                <w:sz w:val="24"/>
              </w:rPr>
            </w:pPr>
            <w:r>
              <w:rPr>
                <w:rFonts w:hint="eastAsia" w:ascii="宋体" w:hAnsi="宋体"/>
                <w:sz w:val="24"/>
              </w:rPr>
              <w:t>施工临时生活区要定期消毒、清理，定期开展灭鼠、灭蚊蝇等工作，防止出血热及蚊虫传染病的发生。</w:t>
            </w:r>
          </w:p>
          <w:p>
            <w:pPr>
              <w:spacing w:before="120" w:beforeLines="50" w:line="360" w:lineRule="auto"/>
              <w:rPr>
                <w:b/>
                <w:sz w:val="24"/>
              </w:rPr>
            </w:pPr>
            <w:r>
              <w:rPr>
                <w:rFonts w:hint="eastAsia"/>
                <w:b/>
                <w:sz w:val="24"/>
              </w:rPr>
              <w:t>3.6、地下水及土壤</w:t>
            </w:r>
            <w:r>
              <w:rPr>
                <w:b/>
                <w:sz w:val="24"/>
              </w:rPr>
              <w:t>保护措施</w:t>
            </w:r>
          </w:p>
          <w:p>
            <w:pPr>
              <w:widowControl/>
              <w:spacing w:line="360" w:lineRule="auto"/>
              <w:ind w:firstLine="480" w:firstLineChars="200"/>
              <w:jc w:val="left"/>
              <w:rPr>
                <w:rFonts w:hint="eastAsia" w:ascii="宋体" w:hAnsi="宋体"/>
                <w:sz w:val="24"/>
              </w:rPr>
            </w:pPr>
            <w:r>
              <w:rPr>
                <w:rFonts w:hint="eastAsia" w:ascii="宋体" w:hAnsi="宋体"/>
                <w:sz w:val="24"/>
              </w:rPr>
              <w:t>施工期生产废水和生活污水处理达标后外运或用于施工场地、临时道路等洒水降尘，严禁随意排放；混凝土拌和及养护废水、基坑排水、生活污水处理设施底部及四周进行有效防渗，防止对周围地下水及土壤产生不利影响。</w:t>
            </w:r>
          </w:p>
          <w:p>
            <w:pPr>
              <w:spacing w:before="120" w:beforeLines="50" w:line="360" w:lineRule="auto"/>
              <w:rPr>
                <w:b/>
                <w:sz w:val="24"/>
              </w:rPr>
            </w:pPr>
            <w:r>
              <w:rPr>
                <w:rFonts w:hint="eastAsia"/>
                <w:b/>
                <w:sz w:val="24"/>
              </w:rPr>
              <w:t>3.7、水土流失防治</w:t>
            </w:r>
            <w:r>
              <w:rPr>
                <w:b/>
                <w:sz w:val="24"/>
              </w:rPr>
              <w:t>措施</w:t>
            </w:r>
          </w:p>
          <w:p>
            <w:pPr>
              <w:widowControl/>
              <w:spacing w:line="360" w:lineRule="auto"/>
              <w:ind w:firstLine="480" w:firstLineChars="200"/>
              <w:jc w:val="left"/>
              <w:rPr>
                <w:rFonts w:hint="eastAsia"/>
                <w:sz w:val="24"/>
              </w:rPr>
            </w:pPr>
            <w:r>
              <w:rPr>
                <w:rFonts w:hint="eastAsia"/>
                <w:sz w:val="24"/>
              </w:rPr>
              <w:t>类比同类工程，建设过程中同步实施水土保持措施，收到良好的治理效果，积累了许多水土保持方案的成功经验，可供本工程借鉴。</w:t>
            </w:r>
          </w:p>
          <w:p>
            <w:pPr>
              <w:widowControl/>
              <w:spacing w:line="360" w:lineRule="auto"/>
              <w:ind w:firstLine="480" w:firstLineChars="200"/>
              <w:jc w:val="left"/>
              <w:rPr>
                <w:rFonts w:hint="eastAsia"/>
                <w:sz w:val="24"/>
              </w:rPr>
            </w:pPr>
            <w:r>
              <w:rPr>
                <w:rFonts w:hint="eastAsia"/>
                <w:sz w:val="24"/>
              </w:rPr>
              <w:t>（1）在施工过程中做好临时道路、施工生产生活区排水设施，可有效防止水土流失。</w:t>
            </w:r>
          </w:p>
          <w:p>
            <w:pPr>
              <w:widowControl/>
              <w:spacing w:line="360" w:lineRule="auto"/>
              <w:ind w:firstLine="480" w:firstLineChars="200"/>
              <w:jc w:val="left"/>
              <w:rPr>
                <w:rFonts w:hint="eastAsia"/>
                <w:sz w:val="24"/>
              </w:rPr>
            </w:pPr>
            <w:r>
              <w:rPr>
                <w:rFonts w:hint="eastAsia"/>
                <w:sz w:val="24"/>
              </w:rPr>
              <w:t>（2）对占地范围内表层腐殖土剥离保存，既保证了临时占地恢复用土，又减少了新增水土流失量。</w:t>
            </w:r>
          </w:p>
          <w:p>
            <w:pPr>
              <w:widowControl/>
              <w:spacing w:line="360" w:lineRule="auto"/>
              <w:ind w:firstLine="480" w:firstLineChars="200"/>
              <w:jc w:val="left"/>
              <w:rPr>
                <w:rFonts w:hint="eastAsia"/>
                <w:sz w:val="24"/>
              </w:rPr>
            </w:pPr>
            <w:r>
              <w:rPr>
                <w:rFonts w:hint="eastAsia"/>
                <w:sz w:val="24"/>
              </w:rPr>
              <w:t>（3）施工结束后及时对裸露地表实施植物措施，尽快恢复原地貌，可减少新增水土流失。</w:t>
            </w:r>
          </w:p>
          <w:p>
            <w:pPr>
              <w:widowControl/>
              <w:spacing w:line="360" w:lineRule="auto"/>
              <w:ind w:firstLine="480" w:firstLineChars="200"/>
              <w:jc w:val="left"/>
              <w:rPr>
                <w:rFonts w:hint="eastAsia"/>
                <w:sz w:val="24"/>
              </w:rPr>
            </w:pPr>
            <w:r>
              <w:rPr>
                <w:rFonts w:hint="eastAsia"/>
                <w:sz w:val="24"/>
              </w:rPr>
              <w:t>（4）植物措施中树种和草种选择也很重要，要因地制宜选择当地先锋树种，并加强养护管理，提高植被成活率。</w:t>
            </w:r>
          </w:p>
          <w:p>
            <w:pPr>
              <w:widowControl/>
              <w:spacing w:line="360" w:lineRule="auto"/>
              <w:ind w:firstLine="480" w:firstLineChars="200"/>
              <w:jc w:val="left"/>
            </w:pPr>
            <w:r>
              <w:rPr>
                <w:rFonts w:hint="eastAsia"/>
                <w:sz w:val="24"/>
              </w:rPr>
              <w:t>本项目在总体布局上本着工程措施与植物措施相结合，永久措施与临时措施相结合，点、线、面相结合的原则，形成布局合理的水土保持综合防治体系。将主体工程中具有水土保持功能工程纳入本方案的水土保持措施体系当中，使之与方案新增水土保持措施一起，形成一个科学、完整、严密的水土流失防治措施体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1" w:hRule="atLeast"/>
          <w:jc w:val="center"/>
        </w:trPr>
        <w:tc>
          <w:tcPr>
            <w:tcW w:w="753" w:type="dxa"/>
            <w:noWrap w:val="0"/>
            <w:tcMar>
              <w:left w:w="28" w:type="dxa"/>
              <w:right w:w="28" w:type="dxa"/>
            </w:tcMar>
            <w:vAlign w:val="center"/>
          </w:tcPr>
          <w:p>
            <w:pPr>
              <w:adjustRightInd w:val="0"/>
              <w:snapToGrid w:val="0"/>
              <w:jc w:val="center"/>
              <w:rPr>
                <w:rFonts w:ascii="宋体" w:hAnsi="宋体" w:cs="宋体"/>
                <w:bCs/>
                <w:spacing w:val="10"/>
                <w:sz w:val="24"/>
              </w:rPr>
            </w:pPr>
            <w:r>
              <w:rPr>
                <w:rFonts w:hint="eastAsia" w:ascii="宋体" w:hAnsi="宋体" w:cs="宋体"/>
                <w:bCs/>
                <w:spacing w:val="10"/>
                <w:sz w:val="24"/>
              </w:rPr>
              <w:t>运营期生态环境保护措施</w:t>
            </w:r>
          </w:p>
        </w:tc>
        <w:tc>
          <w:tcPr>
            <w:tcW w:w="8457" w:type="dxa"/>
            <w:noWrap w:val="0"/>
            <w:vAlign w:val="center"/>
          </w:tcPr>
          <w:p>
            <w:pPr>
              <w:spacing w:line="360" w:lineRule="auto"/>
              <w:ind w:firstLine="480" w:firstLineChars="200"/>
              <w:rPr>
                <w:rFonts w:hint="eastAsia"/>
                <w:sz w:val="24"/>
              </w:rPr>
            </w:pPr>
            <w:r>
              <w:rPr>
                <w:sz w:val="24"/>
              </w:rPr>
              <w:t>工程运行</w:t>
            </w:r>
            <w:r>
              <w:rPr>
                <w:rFonts w:hint="eastAsia"/>
                <w:sz w:val="24"/>
              </w:rPr>
              <w:t>期间</w:t>
            </w:r>
            <w:r>
              <w:rPr>
                <w:sz w:val="24"/>
              </w:rPr>
              <w:t>不产生任何污染物，对环境不产生影响，不需要专门的环境保护措施。</w:t>
            </w:r>
          </w:p>
          <w:p>
            <w:pPr>
              <w:spacing w:line="360" w:lineRule="auto"/>
              <w:ind w:firstLine="480" w:firstLineChars="200"/>
              <w:rPr>
                <w:rFonts w:hint="eastAsia"/>
                <w:sz w:val="24"/>
              </w:rPr>
            </w:pPr>
            <w:r>
              <w:rPr>
                <w:sz w:val="24"/>
              </w:rPr>
              <w:t>运行期要加强</w:t>
            </w:r>
            <w:r>
              <w:rPr>
                <w:rFonts w:hint="eastAsia"/>
                <w:sz w:val="24"/>
              </w:rPr>
              <w:t>泄洪闸</w:t>
            </w:r>
            <w:r>
              <w:rPr>
                <w:sz w:val="24"/>
              </w:rPr>
              <w:t>的管理与维护，做到经常性巡视，一旦发现险情，及时上报，采取措施，维护</w:t>
            </w:r>
            <w:r>
              <w:rPr>
                <w:rFonts w:hint="eastAsia"/>
                <w:sz w:val="24"/>
              </w:rPr>
              <w:t>工程</w:t>
            </w:r>
            <w:r>
              <w:rPr>
                <w:sz w:val="24"/>
              </w:rPr>
              <w:t>安全。</w:t>
            </w:r>
          </w:p>
          <w:p>
            <w:pPr>
              <w:spacing w:line="360" w:lineRule="auto"/>
              <w:ind w:firstLine="480" w:firstLineChars="200"/>
              <w:rPr>
                <w:rFonts w:hint="eastAsia"/>
                <w:sz w:val="24"/>
              </w:rPr>
            </w:pPr>
            <w:r>
              <w:rPr>
                <w:rFonts w:hint="eastAsia"/>
                <w:sz w:val="24"/>
              </w:rPr>
              <w:t>切实配合落实</w:t>
            </w:r>
            <w:r>
              <w:rPr>
                <w:rFonts w:hint="eastAsia"/>
                <w:kern w:val="0"/>
                <w:sz w:val="24"/>
              </w:rPr>
              <w:t>已批复的《呼兰河生态流量保障方案》，保障河道内生态流量目标的实现。</w:t>
            </w: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widowControl/>
              <w:jc w:val="left"/>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8" w:hRule="atLeast"/>
          <w:jc w:val="center"/>
        </w:trPr>
        <w:tc>
          <w:tcPr>
            <w:tcW w:w="753" w:type="dxa"/>
            <w:noWrap w:val="0"/>
            <w:vAlign w:val="center"/>
          </w:tcPr>
          <w:p>
            <w:pPr>
              <w:adjustRightInd w:val="0"/>
              <w:snapToGrid w:val="0"/>
              <w:jc w:val="center"/>
              <w:rPr>
                <w:rFonts w:ascii="宋体" w:hAnsi="宋体" w:cs="宋体"/>
                <w:bCs/>
                <w:spacing w:val="10"/>
                <w:sz w:val="24"/>
              </w:rPr>
            </w:pPr>
            <w:r>
              <w:rPr>
                <w:rFonts w:hint="eastAsia" w:ascii="宋体" w:hAnsi="宋体"/>
                <w:bCs/>
                <w:sz w:val="24"/>
              </w:rPr>
              <w:t>其他</w:t>
            </w:r>
          </w:p>
        </w:tc>
        <w:tc>
          <w:tcPr>
            <w:tcW w:w="8457" w:type="dxa"/>
            <w:noWrap w:val="0"/>
            <w:vAlign w:val="top"/>
          </w:tcPr>
          <w:p>
            <w:pPr>
              <w:spacing w:before="120" w:beforeLines="50" w:line="360" w:lineRule="auto"/>
              <w:rPr>
                <w:b/>
                <w:sz w:val="24"/>
              </w:rPr>
            </w:pPr>
            <w:r>
              <w:rPr>
                <w:rFonts w:hint="eastAsia"/>
                <w:b/>
                <w:sz w:val="24"/>
              </w:rPr>
              <w:t>1、环境管理</w:t>
            </w:r>
          </w:p>
          <w:p>
            <w:pPr>
              <w:adjustRightInd w:val="0"/>
              <w:snapToGrid w:val="0"/>
              <w:spacing w:line="360" w:lineRule="auto"/>
              <w:ind w:firstLine="480" w:firstLineChars="200"/>
              <w:textAlignment w:val="baseline"/>
              <w:rPr>
                <w:sz w:val="24"/>
              </w:rPr>
            </w:pPr>
            <w:r>
              <w:rPr>
                <w:sz w:val="24"/>
              </w:rPr>
              <w:t>为确保各项环境保护政策、法规的贯彻以及环保措施的落实，有效地处理各种突发环境事件，在工程管理机构设置环境管理人员，具体负责环境保护及环境管理工作。环境管理任务：</w:t>
            </w:r>
            <w:r>
              <w:rPr>
                <w:rFonts w:hint="eastAsia" w:ascii="宋体" w:hAnsi="宋体" w:cs="宋体"/>
                <w:sz w:val="24"/>
              </w:rPr>
              <w:t>①</w:t>
            </w:r>
            <w:r>
              <w:rPr>
                <w:sz w:val="24"/>
              </w:rPr>
              <w:t>协调解决工程建设及运行过程中的有关环境纠纷等问题；</w:t>
            </w:r>
            <w:r>
              <w:rPr>
                <w:rFonts w:hint="eastAsia" w:ascii="宋体" w:hAnsi="宋体" w:cs="宋体"/>
                <w:sz w:val="24"/>
              </w:rPr>
              <w:t>②</w:t>
            </w:r>
            <w:r>
              <w:rPr>
                <w:sz w:val="24"/>
              </w:rPr>
              <w:t>监督施工期和运行期各项环保措施的执行情况；</w:t>
            </w:r>
            <w:r>
              <w:rPr>
                <w:rFonts w:hint="eastAsia" w:ascii="宋体" w:hAnsi="宋体" w:cs="宋体"/>
                <w:sz w:val="24"/>
              </w:rPr>
              <w:t>③</w:t>
            </w:r>
            <w:r>
              <w:rPr>
                <w:sz w:val="24"/>
              </w:rPr>
              <w:t>编制并负责执行工程的环境管理计划；</w:t>
            </w:r>
            <w:r>
              <w:rPr>
                <w:rFonts w:hint="eastAsia" w:ascii="宋体" w:hAnsi="宋体" w:cs="宋体"/>
                <w:sz w:val="24"/>
              </w:rPr>
              <w:t>④</w:t>
            </w:r>
            <w:r>
              <w:rPr>
                <w:sz w:val="24"/>
              </w:rPr>
              <w:t>以各种形式宣传环境保护法规、</w:t>
            </w:r>
            <w:r>
              <w:rPr>
                <w:rFonts w:hint="eastAsia"/>
                <w:sz w:val="24"/>
              </w:rPr>
              <w:t>增强</w:t>
            </w:r>
            <w:r>
              <w:rPr>
                <w:sz w:val="24"/>
              </w:rPr>
              <w:t>人们的环保意识。</w:t>
            </w:r>
          </w:p>
          <w:p>
            <w:pPr>
              <w:spacing w:before="120" w:beforeLines="50" w:line="360" w:lineRule="auto"/>
              <w:rPr>
                <w:b/>
                <w:sz w:val="24"/>
              </w:rPr>
            </w:pPr>
            <w:r>
              <w:rPr>
                <w:rFonts w:hint="eastAsia"/>
                <w:b/>
                <w:sz w:val="24"/>
              </w:rPr>
              <w:t>2、环境监理</w:t>
            </w:r>
          </w:p>
          <w:p>
            <w:pPr>
              <w:adjustRightInd w:val="0"/>
              <w:snapToGrid w:val="0"/>
              <w:spacing w:line="360" w:lineRule="auto"/>
              <w:ind w:firstLine="480" w:firstLineChars="200"/>
              <w:rPr>
                <w:rFonts w:hint="eastAsia"/>
                <w:sz w:val="24"/>
              </w:rPr>
            </w:pPr>
            <w:r>
              <w:rPr>
                <w:sz w:val="24"/>
              </w:rPr>
              <w:t>施工期本工程设1名环境监理。根据国家</w:t>
            </w:r>
            <w:r>
              <w:rPr>
                <w:rFonts w:hint="eastAsia"/>
                <w:sz w:val="24"/>
              </w:rPr>
              <w:t>法律法规</w:t>
            </w:r>
            <w:r>
              <w:rPr>
                <w:sz w:val="24"/>
              </w:rPr>
              <w:t>和政策及施工合同中的环保条款，通过日常巡视，下发指令性文件等方式，监督、审查和评估施工期环境保护执行情况，及时发现和指正施工单位的违反环境保护政策行为，及时将监理情况反馈给工程监理和工程建设管理部门。防止各种突发污染事故发生。</w:t>
            </w:r>
          </w:p>
          <w:p>
            <w:pPr>
              <w:spacing w:before="120" w:beforeLines="50" w:line="360" w:lineRule="auto"/>
              <w:rPr>
                <w:b/>
                <w:sz w:val="24"/>
              </w:rPr>
            </w:pPr>
            <w:r>
              <w:rPr>
                <w:rFonts w:hint="eastAsia"/>
                <w:b/>
                <w:sz w:val="24"/>
              </w:rPr>
              <w:t>3、环境监测</w:t>
            </w:r>
          </w:p>
          <w:p>
            <w:pPr>
              <w:spacing w:line="360" w:lineRule="auto"/>
              <w:ind w:firstLine="480"/>
              <w:textAlignment w:val="baseline"/>
              <w:rPr>
                <w:rFonts w:hint="eastAsia"/>
                <w:sz w:val="24"/>
              </w:rPr>
            </w:pPr>
            <w:r>
              <w:rPr>
                <w:rFonts w:hint="eastAsia"/>
                <w:sz w:val="24"/>
              </w:rPr>
              <w:t>环境监测的目的是通过执行施工期和运行期监测计划及监测报告制度，监督各项环境保护措施的实施情况，并根据监测结果适时调整环境保护措施，为环境保护措施的实施提供依据。</w:t>
            </w:r>
          </w:p>
          <w:p>
            <w:pPr>
              <w:spacing w:line="360" w:lineRule="auto"/>
              <w:ind w:firstLine="480"/>
              <w:textAlignment w:val="baseline"/>
              <w:rPr>
                <w:rFonts w:hint="eastAsia"/>
                <w:sz w:val="24"/>
              </w:rPr>
            </w:pPr>
            <w:r>
              <w:rPr>
                <w:rFonts w:hint="eastAsia"/>
                <w:sz w:val="24"/>
              </w:rPr>
              <w:t>根据本项目的特点，监测时段包括施工期和运行期。本项目施工期6个月，施工期间环境监测所需费用列入本项目环保投资；运行期环境监测费用不计列。</w:t>
            </w:r>
          </w:p>
          <w:p>
            <w:pPr>
              <w:spacing w:line="360" w:lineRule="auto"/>
              <w:ind w:firstLine="480"/>
              <w:textAlignment w:val="baseline"/>
              <w:rPr>
                <w:rFonts w:hint="eastAsia"/>
                <w:sz w:val="24"/>
              </w:rPr>
            </w:pPr>
            <w:r>
              <w:rPr>
                <w:rFonts w:hint="eastAsia"/>
                <w:sz w:val="24"/>
              </w:rPr>
              <w:t>依据建设项目施工特点、线路布设以及沿线环境敏感点分布情况，施工期环境监测要素为地表水环境；运行期环境监测要素为地表水、水生生态环境。施工期环境监测计划详见表5-1，运行期环境监测计划详见表5-2。</w:t>
            </w:r>
          </w:p>
          <w:p>
            <w:pPr>
              <w:spacing w:line="360" w:lineRule="auto"/>
              <w:ind w:firstLine="480"/>
              <w:textAlignment w:val="baseline"/>
              <w:rPr>
                <w:rFonts w:hint="eastAsia"/>
                <w:sz w:val="24"/>
              </w:rPr>
            </w:pPr>
            <w:r>
              <w:rPr>
                <w:sz w:val="24"/>
              </w:rPr>
              <w:t>监测任务可委托当地有</w:t>
            </w:r>
            <w:r>
              <w:rPr>
                <w:rFonts w:hint="eastAsia"/>
                <w:sz w:val="24"/>
              </w:rPr>
              <w:t>环境</w:t>
            </w:r>
            <w:r>
              <w:rPr>
                <w:sz w:val="24"/>
              </w:rPr>
              <w:t>监测资质的环境监测部门承担，监测数据经过审查、校核后，整理编印，报给项目管理单位。</w:t>
            </w: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276" w:lineRule="auto"/>
              <w:ind w:firstLine="482" w:firstLineChars="200"/>
              <w:jc w:val="center"/>
              <w:rPr>
                <w:rFonts w:hint="eastAsia"/>
                <w:b/>
                <w:sz w:val="24"/>
              </w:rPr>
            </w:pPr>
            <w:r>
              <w:rPr>
                <w:b/>
                <w:sz w:val="24"/>
              </w:rPr>
              <w:t>表</w:t>
            </w:r>
            <w:r>
              <w:rPr>
                <w:rFonts w:hint="eastAsia"/>
                <w:b/>
                <w:sz w:val="24"/>
              </w:rPr>
              <w:t>5-1  施</w:t>
            </w:r>
            <w:r>
              <w:rPr>
                <w:b/>
                <w:sz w:val="24"/>
              </w:rPr>
              <w:t>工期环境监测计划</w:t>
            </w:r>
          </w:p>
          <w:tbl>
            <w:tblPr>
              <w:tblStyle w:val="14"/>
              <w:tblW w:w="8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19"/>
              <w:gridCol w:w="2225"/>
              <w:gridCol w:w="1749"/>
              <w:gridCol w:w="1856"/>
              <w:gridCol w:w="829"/>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558" w:type="pct"/>
                  <w:tcBorders>
                    <w:top w:val="single" w:color="auto" w:sz="4" w:space="0"/>
                  </w:tcBorders>
                  <w:noWrap w:val="0"/>
                  <w:vAlign w:val="center"/>
                </w:tcPr>
                <w:p>
                  <w:pPr>
                    <w:spacing w:line="276" w:lineRule="auto"/>
                    <w:jc w:val="center"/>
                    <w:rPr>
                      <w:kern w:val="0"/>
                      <w:szCs w:val="21"/>
                    </w:rPr>
                  </w:pPr>
                  <w:r>
                    <w:rPr>
                      <w:kern w:val="0"/>
                      <w:szCs w:val="21"/>
                    </w:rPr>
                    <w:t>环境</w:t>
                  </w:r>
                </w:p>
                <w:p>
                  <w:pPr>
                    <w:spacing w:line="276" w:lineRule="auto"/>
                    <w:jc w:val="center"/>
                    <w:rPr>
                      <w:kern w:val="0"/>
                      <w:szCs w:val="21"/>
                    </w:rPr>
                  </w:pPr>
                  <w:r>
                    <w:rPr>
                      <w:kern w:val="0"/>
                      <w:szCs w:val="21"/>
                    </w:rPr>
                    <w:t>要素</w:t>
                  </w:r>
                </w:p>
              </w:tc>
              <w:tc>
                <w:tcPr>
                  <w:tcW w:w="1350" w:type="pct"/>
                  <w:tcBorders>
                    <w:top w:val="single" w:color="auto" w:sz="4" w:space="0"/>
                  </w:tcBorders>
                  <w:noWrap w:val="0"/>
                  <w:vAlign w:val="center"/>
                </w:tcPr>
                <w:p>
                  <w:pPr>
                    <w:spacing w:line="276" w:lineRule="auto"/>
                    <w:jc w:val="center"/>
                    <w:rPr>
                      <w:kern w:val="0"/>
                      <w:szCs w:val="21"/>
                    </w:rPr>
                  </w:pPr>
                  <w:r>
                    <w:rPr>
                      <w:kern w:val="0"/>
                      <w:szCs w:val="21"/>
                    </w:rPr>
                    <w:t>监测地点</w:t>
                  </w:r>
                </w:p>
              </w:tc>
              <w:tc>
                <w:tcPr>
                  <w:tcW w:w="1061" w:type="pct"/>
                  <w:tcBorders>
                    <w:top w:val="single" w:color="auto" w:sz="4" w:space="0"/>
                  </w:tcBorders>
                  <w:noWrap w:val="0"/>
                  <w:vAlign w:val="center"/>
                </w:tcPr>
                <w:p>
                  <w:pPr>
                    <w:spacing w:line="276" w:lineRule="auto"/>
                    <w:jc w:val="center"/>
                    <w:rPr>
                      <w:kern w:val="0"/>
                      <w:szCs w:val="21"/>
                    </w:rPr>
                  </w:pPr>
                  <w:r>
                    <w:rPr>
                      <w:kern w:val="0"/>
                      <w:szCs w:val="21"/>
                    </w:rPr>
                    <w:t>监测项目</w:t>
                  </w:r>
                </w:p>
              </w:tc>
              <w:tc>
                <w:tcPr>
                  <w:tcW w:w="1126" w:type="pct"/>
                  <w:tcBorders>
                    <w:top w:val="single" w:color="auto" w:sz="4" w:space="0"/>
                  </w:tcBorders>
                  <w:noWrap w:val="0"/>
                  <w:vAlign w:val="center"/>
                </w:tcPr>
                <w:p>
                  <w:pPr>
                    <w:spacing w:line="276" w:lineRule="auto"/>
                    <w:jc w:val="center"/>
                    <w:rPr>
                      <w:kern w:val="0"/>
                      <w:szCs w:val="21"/>
                    </w:rPr>
                  </w:pPr>
                  <w:r>
                    <w:rPr>
                      <w:kern w:val="0"/>
                      <w:szCs w:val="21"/>
                    </w:rPr>
                    <w:t>监测时间及频率</w:t>
                  </w:r>
                </w:p>
              </w:tc>
              <w:tc>
                <w:tcPr>
                  <w:tcW w:w="503" w:type="pct"/>
                  <w:tcBorders>
                    <w:top w:val="single" w:color="auto" w:sz="4" w:space="0"/>
                  </w:tcBorders>
                  <w:noWrap w:val="0"/>
                  <w:vAlign w:val="center"/>
                </w:tcPr>
                <w:p>
                  <w:pPr>
                    <w:spacing w:line="276" w:lineRule="auto"/>
                    <w:jc w:val="center"/>
                    <w:rPr>
                      <w:kern w:val="0"/>
                      <w:szCs w:val="21"/>
                    </w:rPr>
                  </w:pPr>
                  <w:r>
                    <w:rPr>
                      <w:kern w:val="0"/>
                      <w:szCs w:val="21"/>
                    </w:rPr>
                    <w:t>实施</w:t>
                  </w:r>
                </w:p>
                <w:p>
                  <w:pPr>
                    <w:spacing w:line="276" w:lineRule="auto"/>
                    <w:jc w:val="center"/>
                    <w:rPr>
                      <w:kern w:val="0"/>
                      <w:szCs w:val="21"/>
                    </w:rPr>
                  </w:pPr>
                  <w:r>
                    <w:rPr>
                      <w:kern w:val="0"/>
                      <w:szCs w:val="21"/>
                    </w:rPr>
                    <w:t>机构</w:t>
                  </w:r>
                </w:p>
              </w:tc>
              <w:tc>
                <w:tcPr>
                  <w:tcW w:w="402" w:type="pct"/>
                  <w:tcBorders>
                    <w:top w:val="single" w:color="auto" w:sz="4" w:space="0"/>
                  </w:tcBorders>
                  <w:noWrap w:val="0"/>
                  <w:vAlign w:val="center"/>
                </w:tcPr>
                <w:p>
                  <w:pPr>
                    <w:spacing w:line="276" w:lineRule="auto"/>
                    <w:jc w:val="center"/>
                    <w:rPr>
                      <w:kern w:val="0"/>
                      <w:szCs w:val="21"/>
                    </w:rPr>
                  </w:pPr>
                  <w:r>
                    <w:rPr>
                      <w:kern w:val="0"/>
                      <w:szCs w:val="21"/>
                    </w:rPr>
                    <w:t>监督</w:t>
                  </w:r>
                </w:p>
                <w:p>
                  <w:pPr>
                    <w:spacing w:line="276" w:lineRule="auto"/>
                    <w:jc w:val="center"/>
                    <w:rPr>
                      <w:kern w:val="0"/>
                      <w:szCs w:val="21"/>
                    </w:rPr>
                  </w:pPr>
                  <w:r>
                    <w:rPr>
                      <w:kern w:val="0"/>
                      <w:szCs w:val="21"/>
                    </w:rPr>
                    <w:t>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58" w:type="pct"/>
                  <w:noWrap w:val="0"/>
                  <w:vAlign w:val="center"/>
                </w:tcPr>
                <w:p>
                  <w:pPr>
                    <w:spacing w:line="276" w:lineRule="auto"/>
                    <w:jc w:val="center"/>
                    <w:rPr>
                      <w:kern w:val="0"/>
                      <w:szCs w:val="21"/>
                    </w:rPr>
                  </w:pPr>
                  <w:r>
                    <w:rPr>
                      <w:kern w:val="0"/>
                      <w:szCs w:val="21"/>
                    </w:rPr>
                    <w:t>地表水</w:t>
                  </w:r>
                </w:p>
                <w:p>
                  <w:pPr>
                    <w:spacing w:line="276" w:lineRule="auto"/>
                    <w:jc w:val="center"/>
                    <w:rPr>
                      <w:kern w:val="0"/>
                      <w:szCs w:val="21"/>
                    </w:rPr>
                  </w:pPr>
                  <w:r>
                    <w:rPr>
                      <w:kern w:val="0"/>
                      <w:szCs w:val="21"/>
                    </w:rPr>
                    <w:t>环境</w:t>
                  </w:r>
                </w:p>
              </w:tc>
              <w:tc>
                <w:tcPr>
                  <w:tcW w:w="1350" w:type="pct"/>
                  <w:noWrap w:val="0"/>
                  <w:vAlign w:val="center"/>
                </w:tcPr>
                <w:p>
                  <w:pPr>
                    <w:spacing w:line="276" w:lineRule="auto"/>
                    <w:jc w:val="center"/>
                    <w:rPr>
                      <w:kern w:val="0"/>
                      <w:szCs w:val="21"/>
                    </w:rPr>
                  </w:pPr>
                  <w:r>
                    <w:rPr>
                      <w:rFonts w:hint="eastAsia"/>
                      <w:kern w:val="0"/>
                      <w:szCs w:val="21"/>
                    </w:rPr>
                    <w:t>呼兰河</w:t>
                  </w:r>
                  <w:r>
                    <w:rPr>
                      <w:kern w:val="0"/>
                      <w:szCs w:val="21"/>
                    </w:rPr>
                    <w:t>干流：</w:t>
                  </w:r>
                  <w:r>
                    <w:rPr>
                      <w:rFonts w:hint="eastAsia"/>
                      <w:kern w:val="0"/>
                      <w:szCs w:val="21"/>
                    </w:rPr>
                    <w:t>永安灌区渠首泄洪闸</w:t>
                  </w:r>
                  <w:r>
                    <w:rPr>
                      <w:kern w:val="0"/>
                      <w:szCs w:val="21"/>
                    </w:rPr>
                    <w:t>上游500m、下游500m各布设1处；</w:t>
                  </w:r>
                </w:p>
                <w:p>
                  <w:pPr>
                    <w:spacing w:line="276" w:lineRule="auto"/>
                    <w:jc w:val="center"/>
                    <w:rPr>
                      <w:kern w:val="0"/>
                      <w:szCs w:val="21"/>
                    </w:rPr>
                  </w:pPr>
                  <w:r>
                    <w:rPr>
                      <w:kern w:val="0"/>
                      <w:szCs w:val="21"/>
                    </w:rPr>
                    <w:t>共计</w:t>
                  </w:r>
                  <w:r>
                    <w:rPr>
                      <w:rFonts w:hint="eastAsia"/>
                      <w:kern w:val="0"/>
                      <w:szCs w:val="21"/>
                    </w:rPr>
                    <w:t>2</w:t>
                  </w:r>
                  <w:r>
                    <w:rPr>
                      <w:kern w:val="0"/>
                      <w:szCs w:val="21"/>
                    </w:rPr>
                    <w:t>个地表水点位。</w:t>
                  </w:r>
                </w:p>
              </w:tc>
              <w:tc>
                <w:tcPr>
                  <w:tcW w:w="1061" w:type="pct"/>
                  <w:noWrap w:val="0"/>
                  <w:vAlign w:val="center"/>
                </w:tcPr>
                <w:p>
                  <w:pPr>
                    <w:spacing w:line="276" w:lineRule="auto"/>
                    <w:jc w:val="center"/>
                    <w:rPr>
                      <w:kern w:val="0"/>
                      <w:szCs w:val="21"/>
                    </w:rPr>
                  </w:pPr>
                  <w:r>
                    <w:rPr>
                      <w:kern w:val="0"/>
                      <w:szCs w:val="21"/>
                    </w:rPr>
                    <w:t>pH值、SS、COD、BOD</w:t>
                  </w:r>
                  <w:r>
                    <w:rPr>
                      <w:kern w:val="0"/>
                      <w:szCs w:val="21"/>
                      <w:vertAlign w:val="subscript"/>
                    </w:rPr>
                    <w:t>5</w:t>
                  </w:r>
                  <w:r>
                    <w:rPr>
                      <w:kern w:val="0"/>
                      <w:szCs w:val="21"/>
                    </w:rPr>
                    <w:t>、氨氮、高锰酸盐指数、粪大肠菌群、石油类</w:t>
                  </w:r>
                </w:p>
              </w:tc>
              <w:tc>
                <w:tcPr>
                  <w:tcW w:w="1126" w:type="pct"/>
                  <w:noWrap w:val="0"/>
                  <w:vAlign w:val="center"/>
                </w:tcPr>
                <w:p>
                  <w:pPr>
                    <w:spacing w:line="276" w:lineRule="auto"/>
                    <w:jc w:val="center"/>
                    <w:rPr>
                      <w:kern w:val="0"/>
                      <w:szCs w:val="21"/>
                    </w:rPr>
                  </w:pPr>
                  <w:r>
                    <w:rPr>
                      <w:kern w:val="0"/>
                      <w:szCs w:val="21"/>
                    </w:rPr>
                    <w:t>施工期监测2次，每次连续监测2天，每天1次。</w:t>
                  </w:r>
                </w:p>
              </w:tc>
              <w:tc>
                <w:tcPr>
                  <w:tcW w:w="503" w:type="pct"/>
                  <w:noWrap w:val="0"/>
                  <w:vAlign w:val="center"/>
                </w:tcPr>
                <w:p>
                  <w:pPr>
                    <w:spacing w:line="276" w:lineRule="auto"/>
                    <w:jc w:val="center"/>
                    <w:rPr>
                      <w:kern w:val="0"/>
                      <w:szCs w:val="21"/>
                    </w:rPr>
                  </w:pPr>
                  <w:r>
                    <w:rPr>
                      <w:kern w:val="0"/>
                      <w:szCs w:val="21"/>
                    </w:rPr>
                    <w:t>有环境监测资质单位</w:t>
                  </w:r>
                </w:p>
              </w:tc>
              <w:tc>
                <w:tcPr>
                  <w:tcW w:w="402" w:type="pct"/>
                  <w:noWrap w:val="0"/>
                  <w:vAlign w:val="center"/>
                </w:tcPr>
                <w:p>
                  <w:pPr>
                    <w:spacing w:line="276" w:lineRule="auto"/>
                    <w:jc w:val="center"/>
                    <w:rPr>
                      <w:kern w:val="0"/>
                      <w:szCs w:val="21"/>
                    </w:rPr>
                  </w:pPr>
                  <w:r>
                    <w:rPr>
                      <w:rFonts w:hint="eastAsia"/>
                      <w:kern w:val="0"/>
                      <w:szCs w:val="21"/>
                    </w:rPr>
                    <w:t>北林区</w:t>
                  </w:r>
                  <w:r>
                    <w:rPr>
                      <w:kern w:val="0"/>
                      <w:szCs w:val="21"/>
                    </w:rPr>
                    <w:t>生态环境局</w:t>
                  </w:r>
                </w:p>
              </w:tc>
            </w:tr>
          </w:tbl>
          <w:p>
            <w:pPr>
              <w:spacing w:line="360" w:lineRule="auto"/>
              <w:ind w:firstLine="480"/>
              <w:textAlignment w:val="baseline"/>
              <w:rPr>
                <w:rFonts w:hint="eastAsia"/>
                <w:sz w:val="24"/>
              </w:rPr>
            </w:pPr>
          </w:p>
          <w:p>
            <w:pPr>
              <w:spacing w:line="276" w:lineRule="auto"/>
              <w:ind w:firstLine="482" w:firstLineChars="200"/>
              <w:jc w:val="center"/>
              <w:rPr>
                <w:rFonts w:hint="eastAsia"/>
                <w:b/>
                <w:sz w:val="24"/>
              </w:rPr>
            </w:pPr>
            <w:r>
              <w:rPr>
                <w:b/>
                <w:sz w:val="24"/>
              </w:rPr>
              <w:t>表</w:t>
            </w:r>
            <w:r>
              <w:rPr>
                <w:rFonts w:hint="eastAsia"/>
                <w:b/>
                <w:sz w:val="24"/>
              </w:rPr>
              <w:t>5-2  运行期</w:t>
            </w:r>
            <w:r>
              <w:rPr>
                <w:b/>
                <w:sz w:val="24"/>
              </w:rPr>
              <w:t>环境监测计划</w:t>
            </w:r>
          </w:p>
          <w:tbl>
            <w:tblPr>
              <w:tblStyle w:val="14"/>
              <w:tblW w:w="8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20"/>
              <w:gridCol w:w="2228"/>
              <w:gridCol w:w="1751"/>
              <w:gridCol w:w="1913"/>
              <w:gridCol w:w="779"/>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558" w:type="pct"/>
                  <w:tcBorders>
                    <w:top w:val="single" w:color="auto" w:sz="4" w:space="0"/>
                  </w:tcBorders>
                  <w:noWrap w:val="0"/>
                  <w:vAlign w:val="center"/>
                </w:tcPr>
                <w:p>
                  <w:pPr>
                    <w:spacing w:line="276" w:lineRule="auto"/>
                    <w:jc w:val="center"/>
                    <w:rPr>
                      <w:kern w:val="0"/>
                      <w:szCs w:val="21"/>
                    </w:rPr>
                  </w:pPr>
                  <w:r>
                    <w:rPr>
                      <w:kern w:val="0"/>
                      <w:szCs w:val="21"/>
                    </w:rPr>
                    <w:t>环境</w:t>
                  </w:r>
                </w:p>
                <w:p>
                  <w:pPr>
                    <w:spacing w:line="276" w:lineRule="auto"/>
                    <w:jc w:val="center"/>
                    <w:rPr>
                      <w:kern w:val="0"/>
                      <w:szCs w:val="21"/>
                    </w:rPr>
                  </w:pPr>
                  <w:r>
                    <w:rPr>
                      <w:kern w:val="0"/>
                      <w:szCs w:val="21"/>
                    </w:rPr>
                    <w:t>要素</w:t>
                  </w:r>
                </w:p>
              </w:tc>
              <w:tc>
                <w:tcPr>
                  <w:tcW w:w="1350" w:type="pct"/>
                  <w:tcBorders>
                    <w:top w:val="single" w:color="auto" w:sz="4" w:space="0"/>
                  </w:tcBorders>
                  <w:noWrap w:val="0"/>
                  <w:vAlign w:val="center"/>
                </w:tcPr>
                <w:p>
                  <w:pPr>
                    <w:spacing w:line="276" w:lineRule="auto"/>
                    <w:jc w:val="center"/>
                    <w:rPr>
                      <w:kern w:val="0"/>
                      <w:szCs w:val="21"/>
                    </w:rPr>
                  </w:pPr>
                  <w:r>
                    <w:rPr>
                      <w:kern w:val="0"/>
                      <w:szCs w:val="21"/>
                    </w:rPr>
                    <w:t>监测地点</w:t>
                  </w:r>
                </w:p>
              </w:tc>
              <w:tc>
                <w:tcPr>
                  <w:tcW w:w="1061" w:type="pct"/>
                  <w:tcBorders>
                    <w:top w:val="single" w:color="auto" w:sz="4" w:space="0"/>
                  </w:tcBorders>
                  <w:noWrap w:val="0"/>
                  <w:vAlign w:val="center"/>
                </w:tcPr>
                <w:p>
                  <w:pPr>
                    <w:spacing w:line="276" w:lineRule="auto"/>
                    <w:jc w:val="center"/>
                    <w:rPr>
                      <w:kern w:val="0"/>
                      <w:szCs w:val="21"/>
                    </w:rPr>
                  </w:pPr>
                  <w:r>
                    <w:rPr>
                      <w:kern w:val="0"/>
                      <w:szCs w:val="21"/>
                    </w:rPr>
                    <w:t>监测项目</w:t>
                  </w:r>
                </w:p>
              </w:tc>
              <w:tc>
                <w:tcPr>
                  <w:tcW w:w="1159" w:type="pct"/>
                  <w:tcBorders>
                    <w:top w:val="single" w:color="auto" w:sz="4" w:space="0"/>
                  </w:tcBorders>
                  <w:noWrap w:val="0"/>
                  <w:vAlign w:val="center"/>
                </w:tcPr>
                <w:p>
                  <w:pPr>
                    <w:spacing w:line="276" w:lineRule="auto"/>
                    <w:jc w:val="center"/>
                    <w:rPr>
                      <w:kern w:val="0"/>
                      <w:szCs w:val="21"/>
                    </w:rPr>
                  </w:pPr>
                  <w:r>
                    <w:rPr>
                      <w:kern w:val="0"/>
                      <w:szCs w:val="21"/>
                    </w:rPr>
                    <w:t>监测时间及频率</w:t>
                  </w:r>
                </w:p>
              </w:tc>
              <w:tc>
                <w:tcPr>
                  <w:tcW w:w="472" w:type="pct"/>
                  <w:tcBorders>
                    <w:top w:val="single" w:color="auto" w:sz="4" w:space="0"/>
                  </w:tcBorders>
                  <w:noWrap w:val="0"/>
                  <w:vAlign w:val="center"/>
                </w:tcPr>
                <w:p>
                  <w:pPr>
                    <w:spacing w:line="276" w:lineRule="auto"/>
                    <w:jc w:val="center"/>
                    <w:rPr>
                      <w:kern w:val="0"/>
                      <w:szCs w:val="21"/>
                    </w:rPr>
                  </w:pPr>
                  <w:r>
                    <w:rPr>
                      <w:kern w:val="0"/>
                      <w:szCs w:val="21"/>
                    </w:rPr>
                    <w:t>实施</w:t>
                  </w:r>
                </w:p>
                <w:p>
                  <w:pPr>
                    <w:spacing w:line="276" w:lineRule="auto"/>
                    <w:jc w:val="center"/>
                    <w:rPr>
                      <w:kern w:val="0"/>
                      <w:szCs w:val="21"/>
                    </w:rPr>
                  </w:pPr>
                  <w:r>
                    <w:rPr>
                      <w:kern w:val="0"/>
                      <w:szCs w:val="21"/>
                    </w:rPr>
                    <w:t>机构</w:t>
                  </w:r>
                </w:p>
              </w:tc>
              <w:tc>
                <w:tcPr>
                  <w:tcW w:w="400" w:type="pct"/>
                  <w:tcBorders>
                    <w:top w:val="single" w:color="auto" w:sz="4" w:space="0"/>
                  </w:tcBorders>
                  <w:noWrap w:val="0"/>
                  <w:vAlign w:val="center"/>
                </w:tcPr>
                <w:p>
                  <w:pPr>
                    <w:spacing w:line="276" w:lineRule="auto"/>
                    <w:jc w:val="center"/>
                    <w:rPr>
                      <w:kern w:val="0"/>
                      <w:szCs w:val="21"/>
                    </w:rPr>
                  </w:pPr>
                  <w:r>
                    <w:rPr>
                      <w:kern w:val="0"/>
                      <w:szCs w:val="21"/>
                    </w:rPr>
                    <w:t>监督</w:t>
                  </w:r>
                </w:p>
                <w:p>
                  <w:pPr>
                    <w:spacing w:line="276" w:lineRule="auto"/>
                    <w:jc w:val="center"/>
                    <w:rPr>
                      <w:kern w:val="0"/>
                      <w:szCs w:val="21"/>
                    </w:rPr>
                  </w:pPr>
                  <w:r>
                    <w:rPr>
                      <w:kern w:val="0"/>
                      <w:szCs w:val="21"/>
                    </w:rPr>
                    <w:t>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58" w:type="pct"/>
                  <w:noWrap w:val="0"/>
                  <w:vAlign w:val="center"/>
                </w:tcPr>
                <w:p>
                  <w:pPr>
                    <w:spacing w:line="276" w:lineRule="auto"/>
                    <w:jc w:val="center"/>
                    <w:rPr>
                      <w:kern w:val="0"/>
                      <w:szCs w:val="21"/>
                    </w:rPr>
                  </w:pPr>
                  <w:r>
                    <w:rPr>
                      <w:kern w:val="0"/>
                      <w:szCs w:val="21"/>
                    </w:rPr>
                    <w:t>地表水</w:t>
                  </w:r>
                </w:p>
                <w:p>
                  <w:pPr>
                    <w:spacing w:line="276" w:lineRule="auto"/>
                    <w:jc w:val="center"/>
                    <w:rPr>
                      <w:kern w:val="0"/>
                      <w:szCs w:val="21"/>
                    </w:rPr>
                  </w:pPr>
                  <w:r>
                    <w:rPr>
                      <w:kern w:val="0"/>
                      <w:szCs w:val="21"/>
                    </w:rPr>
                    <w:t>环境</w:t>
                  </w:r>
                </w:p>
              </w:tc>
              <w:tc>
                <w:tcPr>
                  <w:tcW w:w="1350" w:type="pct"/>
                  <w:noWrap w:val="0"/>
                  <w:vAlign w:val="center"/>
                </w:tcPr>
                <w:p>
                  <w:pPr>
                    <w:spacing w:line="276" w:lineRule="auto"/>
                    <w:jc w:val="center"/>
                    <w:rPr>
                      <w:kern w:val="0"/>
                      <w:szCs w:val="21"/>
                    </w:rPr>
                  </w:pPr>
                  <w:r>
                    <w:rPr>
                      <w:rFonts w:hint="eastAsia"/>
                      <w:kern w:val="0"/>
                      <w:szCs w:val="21"/>
                    </w:rPr>
                    <w:t>永安灌区渠首泄洪闸</w:t>
                  </w:r>
                  <w:r>
                    <w:rPr>
                      <w:kern w:val="0"/>
                      <w:szCs w:val="21"/>
                    </w:rPr>
                    <w:t>附近</w:t>
                  </w:r>
                  <w:r>
                    <w:rPr>
                      <w:rFonts w:hint="eastAsia"/>
                      <w:kern w:val="0"/>
                      <w:szCs w:val="21"/>
                    </w:rPr>
                    <w:t>呼兰河</w:t>
                  </w:r>
                  <w:r>
                    <w:rPr>
                      <w:kern w:val="0"/>
                      <w:szCs w:val="21"/>
                    </w:rPr>
                    <w:t>干流，共计1个地表水点位。</w:t>
                  </w:r>
                </w:p>
              </w:tc>
              <w:tc>
                <w:tcPr>
                  <w:tcW w:w="1061" w:type="pct"/>
                  <w:noWrap w:val="0"/>
                  <w:vAlign w:val="center"/>
                </w:tcPr>
                <w:p>
                  <w:pPr>
                    <w:spacing w:line="276" w:lineRule="auto"/>
                    <w:jc w:val="center"/>
                    <w:rPr>
                      <w:kern w:val="0"/>
                      <w:szCs w:val="21"/>
                    </w:rPr>
                  </w:pPr>
                  <w:r>
                    <w:rPr>
                      <w:kern w:val="0"/>
                      <w:szCs w:val="21"/>
                    </w:rPr>
                    <w:t>pH值、SS、COD、BOD</w:t>
                  </w:r>
                  <w:r>
                    <w:rPr>
                      <w:kern w:val="0"/>
                      <w:szCs w:val="21"/>
                      <w:vertAlign w:val="subscript"/>
                    </w:rPr>
                    <w:t>5</w:t>
                  </w:r>
                  <w:r>
                    <w:rPr>
                      <w:kern w:val="0"/>
                      <w:szCs w:val="21"/>
                    </w:rPr>
                    <w:t>、氨氮、高锰酸盐指数、粪大肠菌群、石油类</w:t>
                  </w:r>
                </w:p>
              </w:tc>
              <w:tc>
                <w:tcPr>
                  <w:tcW w:w="1159" w:type="pct"/>
                  <w:noWrap w:val="0"/>
                  <w:vAlign w:val="center"/>
                </w:tcPr>
                <w:p>
                  <w:pPr>
                    <w:spacing w:line="276" w:lineRule="auto"/>
                    <w:jc w:val="center"/>
                    <w:rPr>
                      <w:kern w:val="0"/>
                      <w:szCs w:val="21"/>
                    </w:rPr>
                  </w:pPr>
                  <w:r>
                    <w:rPr>
                      <w:kern w:val="0"/>
                      <w:szCs w:val="21"/>
                    </w:rPr>
                    <w:t>运行期每年在灌溉引水期6月监测1次，每次连续监测2天，每天1次。持续3年。</w:t>
                  </w:r>
                </w:p>
              </w:tc>
              <w:tc>
                <w:tcPr>
                  <w:tcW w:w="472" w:type="pct"/>
                  <w:vMerge w:val="restart"/>
                  <w:noWrap w:val="0"/>
                  <w:vAlign w:val="center"/>
                </w:tcPr>
                <w:p>
                  <w:pPr>
                    <w:spacing w:line="276" w:lineRule="auto"/>
                    <w:jc w:val="center"/>
                    <w:rPr>
                      <w:kern w:val="0"/>
                      <w:szCs w:val="21"/>
                    </w:rPr>
                  </w:pPr>
                  <w:r>
                    <w:rPr>
                      <w:kern w:val="0"/>
                      <w:szCs w:val="21"/>
                    </w:rPr>
                    <w:t>有环境监测资质单位</w:t>
                  </w:r>
                </w:p>
              </w:tc>
              <w:tc>
                <w:tcPr>
                  <w:tcW w:w="400" w:type="pct"/>
                  <w:vMerge w:val="restart"/>
                  <w:noWrap w:val="0"/>
                  <w:vAlign w:val="center"/>
                </w:tcPr>
                <w:p>
                  <w:pPr>
                    <w:spacing w:line="276" w:lineRule="auto"/>
                    <w:jc w:val="center"/>
                    <w:rPr>
                      <w:kern w:val="0"/>
                      <w:szCs w:val="21"/>
                    </w:rPr>
                  </w:pPr>
                  <w:r>
                    <w:rPr>
                      <w:rFonts w:hint="eastAsia"/>
                      <w:kern w:val="0"/>
                      <w:szCs w:val="21"/>
                    </w:rPr>
                    <w:t>北林区</w:t>
                  </w:r>
                  <w:r>
                    <w:rPr>
                      <w:kern w:val="0"/>
                      <w:szCs w:val="21"/>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58" w:type="pct"/>
                  <w:noWrap w:val="0"/>
                  <w:vAlign w:val="center"/>
                </w:tcPr>
                <w:p>
                  <w:pPr>
                    <w:spacing w:line="276" w:lineRule="auto"/>
                    <w:jc w:val="center"/>
                    <w:rPr>
                      <w:kern w:val="0"/>
                      <w:szCs w:val="21"/>
                    </w:rPr>
                  </w:pPr>
                  <w:r>
                    <w:rPr>
                      <w:kern w:val="0"/>
                      <w:szCs w:val="21"/>
                    </w:rPr>
                    <w:t>水生生态</w:t>
                  </w:r>
                </w:p>
              </w:tc>
              <w:tc>
                <w:tcPr>
                  <w:tcW w:w="1350" w:type="pct"/>
                  <w:noWrap w:val="0"/>
                  <w:vAlign w:val="center"/>
                </w:tcPr>
                <w:p>
                  <w:pPr>
                    <w:spacing w:line="276" w:lineRule="auto"/>
                    <w:jc w:val="center"/>
                    <w:rPr>
                      <w:kern w:val="0"/>
                      <w:szCs w:val="21"/>
                    </w:rPr>
                  </w:pPr>
                  <w:r>
                    <w:rPr>
                      <w:rFonts w:hint="eastAsia"/>
                      <w:kern w:val="0"/>
                      <w:szCs w:val="21"/>
                    </w:rPr>
                    <w:t>永安灌区渠首泄洪闸</w:t>
                  </w:r>
                  <w:r>
                    <w:rPr>
                      <w:kern w:val="0"/>
                      <w:szCs w:val="21"/>
                    </w:rPr>
                    <w:t>附近</w:t>
                  </w:r>
                  <w:r>
                    <w:rPr>
                      <w:rFonts w:hint="eastAsia"/>
                      <w:kern w:val="0"/>
                      <w:szCs w:val="21"/>
                    </w:rPr>
                    <w:t>呼兰河</w:t>
                  </w:r>
                  <w:r>
                    <w:rPr>
                      <w:kern w:val="0"/>
                      <w:szCs w:val="21"/>
                    </w:rPr>
                    <w:t>干流，共计1个点位</w:t>
                  </w:r>
                </w:p>
              </w:tc>
              <w:tc>
                <w:tcPr>
                  <w:tcW w:w="1061" w:type="pct"/>
                  <w:noWrap w:val="0"/>
                  <w:vAlign w:val="center"/>
                </w:tcPr>
                <w:p>
                  <w:pPr>
                    <w:spacing w:line="276" w:lineRule="auto"/>
                    <w:jc w:val="center"/>
                    <w:rPr>
                      <w:kern w:val="0"/>
                      <w:szCs w:val="21"/>
                    </w:rPr>
                  </w:pPr>
                  <w:r>
                    <w:rPr>
                      <w:kern w:val="0"/>
                      <w:szCs w:val="21"/>
                    </w:rPr>
                    <w:t>浮游植物、浮游动物、底栖及固着类生物、水生高等植物、鱼类等水生生物的组成、数量、种群结构、分布情况等</w:t>
                  </w:r>
                </w:p>
              </w:tc>
              <w:tc>
                <w:tcPr>
                  <w:tcW w:w="1159" w:type="pct"/>
                  <w:noWrap w:val="0"/>
                  <w:vAlign w:val="center"/>
                </w:tcPr>
                <w:p>
                  <w:pPr>
                    <w:spacing w:line="276" w:lineRule="auto"/>
                    <w:jc w:val="center"/>
                    <w:rPr>
                      <w:kern w:val="0"/>
                      <w:szCs w:val="21"/>
                    </w:rPr>
                  </w:pPr>
                  <w:r>
                    <w:rPr>
                      <w:kern w:val="0"/>
                      <w:szCs w:val="21"/>
                    </w:rPr>
                    <w:t>运行期每年的5月或6月观测1次。持续3年。</w:t>
                  </w:r>
                </w:p>
              </w:tc>
              <w:tc>
                <w:tcPr>
                  <w:tcW w:w="472" w:type="pct"/>
                  <w:vMerge w:val="continue"/>
                  <w:noWrap w:val="0"/>
                  <w:vAlign w:val="center"/>
                </w:tcPr>
                <w:p>
                  <w:pPr>
                    <w:pStyle w:val="29"/>
                    <w:topLinePunct/>
                    <w:spacing w:before="24" w:after="24" w:line="240" w:lineRule="auto"/>
                    <w:rPr>
                      <w:kern w:val="2"/>
                      <w:szCs w:val="24"/>
                    </w:rPr>
                  </w:pPr>
                </w:p>
              </w:tc>
              <w:tc>
                <w:tcPr>
                  <w:tcW w:w="400" w:type="pct"/>
                  <w:vMerge w:val="continue"/>
                  <w:noWrap w:val="0"/>
                  <w:vAlign w:val="center"/>
                </w:tcPr>
                <w:p>
                  <w:pPr>
                    <w:pStyle w:val="29"/>
                    <w:topLinePunct/>
                    <w:spacing w:before="24" w:after="24" w:line="240" w:lineRule="auto"/>
                    <w:rPr>
                      <w:kern w:val="2"/>
                      <w:szCs w:val="24"/>
                    </w:rPr>
                  </w:pPr>
                </w:p>
              </w:tc>
            </w:tr>
          </w:tbl>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widowControl/>
              <w:jc w:val="left"/>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30" w:hRule="atLeast"/>
          <w:jc w:val="center"/>
        </w:trPr>
        <w:tc>
          <w:tcPr>
            <w:tcW w:w="753" w:type="dxa"/>
            <w:noWrap w:val="0"/>
            <w:vAlign w:val="center"/>
          </w:tcPr>
          <w:p>
            <w:pPr>
              <w:adjustRightInd w:val="0"/>
              <w:snapToGrid w:val="0"/>
              <w:jc w:val="center"/>
              <w:rPr>
                <w:rFonts w:ascii="宋体" w:hAnsi="宋体" w:cs="宋体"/>
                <w:bCs/>
                <w:spacing w:val="10"/>
                <w:sz w:val="24"/>
              </w:rPr>
            </w:pPr>
            <w:r>
              <w:rPr>
                <w:rFonts w:hint="eastAsia" w:ascii="宋体" w:hAnsi="宋体"/>
                <w:bCs/>
                <w:sz w:val="24"/>
              </w:rPr>
              <w:t>环保投资</w:t>
            </w:r>
          </w:p>
        </w:tc>
        <w:tc>
          <w:tcPr>
            <w:tcW w:w="8457" w:type="dxa"/>
            <w:noWrap w:val="0"/>
            <w:vAlign w:val="top"/>
          </w:tcPr>
          <w:p>
            <w:pPr>
              <w:adjustRightInd w:val="0"/>
              <w:snapToGrid w:val="0"/>
              <w:spacing w:before="120" w:beforeLines="50" w:line="360" w:lineRule="auto"/>
              <w:rPr>
                <w:b/>
                <w:bCs/>
                <w:sz w:val="24"/>
              </w:rPr>
            </w:pPr>
            <w:r>
              <w:rPr>
                <w:rFonts w:hint="eastAsia"/>
                <w:b/>
                <w:sz w:val="24"/>
              </w:rPr>
              <w:t>4、</w:t>
            </w:r>
            <w:r>
              <w:rPr>
                <w:rFonts w:hint="eastAsia"/>
                <w:b/>
                <w:bCs/>
                <w:sz w:val="24"/>
              </w:rPr>
              <w:t>环保投资</w:t>
            </w:r>
          </w:p>
          <w:p>
            <w:pPr>
              <w:adjustRightInd w:val="0"/>
              <w:snapToGrid w:val="0"/>
              <w:spacing w:line="360" w:lineRule="auto"/>
              <w:ind w:firstLine="480" w:firstLineChars="200"/>
              <w:rPr>
                <w:rFonts w:hint="eastAsia"/>
              </w:rPr>
            </w:pPr>
            <w:r>
              <w:rPr>
                <w:rFonts w:hint="eastAsia"/>
                <w:sz w:val="24"/>
              </w:rPr>
              <w:t>根据《建设项目环境保护设计规定》（1987年3月20日）第六十二条：“凡属于污染治理和保护环境所需的装置、设备、监测手段和工程设施等均属环境保护设施”，“凡有环境保护设施的建设项目均应列出环境保护设施的投资概算”。依据《水利水电工程环境保护概估算编制规程》（SL359-2006），对本工程的环保投资进行概算。本工程的环保投资概算为</w:t>
            </w:r>
            <w:r>
              <w:rPr>
                <w:sz w:val="24"/>
              </w:rPr>
              <w:t>49.65</w:t>
            </w:r>
            <w:r>
              <w:rPr>
                <w:rFonts w:hint="eastAsia"/>
                <w:sz w:val="24"/>
              </w:rPr>
              <w:t>万元</w:t>
            </w:r>
            <w:r>
              <w:rPr>
                <w:sz w:val="24"/>
              </w:rPr>
              <w:t>，详见表</w:t>
            </w:r>
            <w:r>
              <w:rPr>
                <w:rFonts w:hint="eastAsia"/>
                <w:bCs/>
                <w:sz w:val="24"/>
              </w:rPr>
              <w:t>5-3</w:t>
            </w:r>
            <w:r>
              <w:rPr>
                <w:bCs/>
                <w:sz w:val="24"/>
              </w:rPr>
              <w:t>。</w:t>
            </w:r>
          </w:p>
          <w:p>
            <w:pPr>
              <w:adjustRightInd w:val="0"/>
              <w:snapToGrid w:val="0"/>
              <w:spacing w:line="276" w:lineRule="auto"/>
              <w:ind w:firstLine="472" w:firstLineChars="196"/>
              <w:jc w:val="center"/>
              <w:rPr>
                <w:rFonts w:hint="eastAsia"/>
                <w:b/>
                <w:sz w:val="24"/>
              </w:rPr>
            </w:pPr>
            <w:r>
              <w:rPr>
                <w:b/>
                <w:sz w:val="24"/>
              </w:rPr>
              <w:t>表</w:t>
            </w:r>
            <w:r>
              <w:rPr>
                <w:rFonts w:hint="eastAsia"/>
                <w:b/>
                <w:sz w:val="24"/>
              </w:rPr>
              <w:t>5-3  本项目</w:t>
            </w:r>
            <w:r>
              <w:rPr>
                <w:b/>
                <w:sz w:val="24"/>
              </w:rPr>
              <w:t>环境保护投资表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2703"/>
              <w:gridCol w:w="1108"/>
              <w:gridCol w:w="1108"/>
              <w:gridCol w:w="1057"/>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625" w:type="pct"/>
                  <w:noWrap w:val="0"/>
                  <w:vAlign w:val="center"/>
                </w:tcPr>
                <w:p>
                  <w:pPr>
                    <w:widowControl/>
                    <w:jc w:val="center"/>
                    <w:rPr>
                      <w:kern w:val="0"/>
                      <w:szCs w:val="21"/>
                    </w:rPr>
                  </w:pPr>
                  <w:r>
                    <w:rPr>
                      <w:rFonts w:hint="eastAsia"/>
                      <w:kern w:val="0"/>
                      <w:szCs w:val="21"/>
                    </w:rPr>
                    <w:t>序号</w:t>
                  </w:r>
                </w:p>
              </w:tc>
              <w:tc>
                <w:tcPr>
                  <w:tcW w:w="1648" w:type="pct"/>
                  <w:noWrap w:val="0"/>
                  <w:vAlign w:val="center"/>
                </w:tcPr>
                <w:p>
                  <w:pPr>
                    <w:widowControl/>
                    <w:jc w:val="center"/>
                    <w:rPr>
                      <w:kern w:val="0"/>
                      <w:szCs w:val="21"/>
                    </w:rPr>
                  </w:pPr>
                  <w:r>
                    <w:rPr>
                      <w:rFonts w:hint="eastAsia"/>
                      <w:kern w:val="0"/>
                      <w:szCs w:val="21"/>
                    </w:rPr>
                    <w:t>一级项目</w:t>
                  </w:r>
                </w:p>
              </w:tc>
              <w:tc>
                <w:tcPr>
                  <w:tcW w:w="682" w:type="pct"/>
                  <w:noWrap w:val="0"/>
                  <w:vAlign w:val="center"/>
                </w:tcPr>
                <w:p>
                  <w:pPr>
                    <w:widowControl/>
                    <w:jc w:val="center"/>
                    <w:rPr>
                      <w:kern w:val="0"/>
                      <w:szCs w:val="21"/>
                    </w:rPr>
                  </w:pPr>
                  <w:r>
                    <w:rPr>
                      <w:rFonts w:hint="eastAsia"/>
                      <w:kern w:val="0"/>
                      <w:szCs w:val="21"/>
                    </w:rPr>
                    <w:t>单位</w:t>
                  </w:r>
                </w:p>
              </w:tc>
              <w:tc>
                <w:tcPr>
                  <w:tcW w:w="682" w:type="pct"/>
                  <w:noWrap w:val="0"/>
                  <w:vAlign w:val="center"/>
                </w:tcPr>
                <w:p>
                  <w:pPr>
                    <w:widowControl/>
                    <w:jc w:val="center"/>
                    <w:rPr>
                      <w:kern w:val="0"/>
                      <w:szCs w:val="21"/>
                    </w:rPr>
                  </w:pPr>
                  <w:r>
                    <w:rPr>
                      <w:rFonts w:hint="eastAsia"/>
                      <w:kern w:val="0"/>
                      <w:szCs w:val="21"/>
                    </w:rPr>
                    <w:t>单价（元）</w:t>
                  </w:r>
                </w:p>
              </w:tc>
              <w:tc>
                <w:tcPr>
                  <w:tcW w:w="589" w:type="pct"/>
                  <w:noWrap w:val="0"/>
                  <w:vAlign w:val="center"/>
                </w:tcPr>
                <w:p>
                  <w:pPr>
                    <w:widowControl/>
                    <w:jc w:val="center"/>
                    <w:rPr>
                      <w:kern w:val="0"/>
                      <w:szCs w:val="21"/>
                    </w:rPr>
                  </w:pPr>
                  <w:r>
                    <w:rPr>
                      <w:rFonts w:hint="eastAsia"/>
                      <w:kern w:val="0"/>
                      <w:szCs w:val="21"/>
                    </w:rPr>
                    <w:t>数量</w:t>
                  </w:r>
                </w:p>
              </w:tc>
              <w:tc>
                <w:tcPr>
                  <w:tcW w:w="774" w:type="pct"/>
                  <w:noWrap w:val="0"/>
                  <w:vAlign w:val="center"/>
                </w:tcPr>
                <w:p>
                  <w:pPr>
                    <w:widowControl/>
                    <w:jc w:val="center"/>
                    <w:rPr>
                      <w:kern w:val="0"/>
                      <w:szCs w:val="21"/>
                    </w:rPr>
                  </w:pPr>
                  <w:r>
                    <w:rPr>
                      <w:rFonts w:hint="eastAsia"/>
                      <w:kern w:val="0"/>
                      <w:szCs w:val="21"/>
                    </w:rPr>
                    <w:t>合计（万元）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26" w:type="pct"/>
                  <w:gridSpan w:val="5"/>
                  <w:noWrap w:val="0"/>
                  <w:vAlign w:val="center"/>
                </w:tcPr>
                <w:p>
                  <w:pPr>
                    <w:widowControl/>
                    <w:jc w:val="center"/>
                    <w:rPr>
                      <w:kern w:val="0"/>
                      <w:szCs w:val="21"/>
                    </w:rPr>
                  </w:pPr>
                  <w:r>
                    <w:rPr>
                      <w:rFonts w:hint="eastAsia"/>
                      <w:kern w:val="0"/>
                      <w:szCs w:val="21"/>
                    </w:rPr>
                    <w:t>第一部分环境保护措施</w:t>
                  </w:r>
                </w:p>
              </w:tc>
              <w:tc>
                <w:tcPr>
                  <w:tcW w:w="774" w:type="pct"/>
                  <w:noWrap/>
                  <w:vAlign w:val="center"/>
                </w:tcPr>
                <w:p>
                  <w:pPr>
                    <w:widowControl/>
                    <w:jc w:val="center"/>
                    <w:rPr>
                      <w:kern w:val="0"/>
                      <w:szCs w:val="21"/>
                    </w:rPr>
                  </w:pPr>
                  <w:r>
                    <w:rPr>
                      <w:kern w:val="0"/>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rFonts w:hint="eastAsia"/>
                      <w:kern w:val="0"/>
                      <w:szCs w:val="21"/>
                    </w:rPr>
                    <w:t>一</w:t>
                  </w:r>
                </w:p>
              </w:tc>
              <w:tc>
                <w:tcPr>
                  <w:tcW w:w="1648" w:type="pct"/>
                  <w:noWrap w:val="0"/>
                  <w:vAlign w:val="center"/>
                </w:tcPr>
                <w:p>
                  <w:pPr>
                    <w:widowControl/>
                    <w:jc w:val="center"/>
                    <w:rPr>
                      <w:kern w:val="0"/>
                      <w:szCs w:val="21"/>
                    </w:rPr>
                  </w:pPr>
                  <w:r>
                    <w:rPr>
                      <w:rFonts w:hint="eastAsia"/>
                      <w:kern w:val="0"/>
                      <w:szCs w:val="21"/>
                    </w:rPr>
                    <w:t>生态保护措施</w:t>
                  </w:r>
                </w:p>
              </w:tc>
              <w:tc>
                <w:tcPr>
                  <w:tcW w:w="682" w:type="pct"/>
                  <w:noWrap w:val="0"/>
                  <w:vAlign w:val="center"/>
                </w:tcPr>
                <w:p>
                  <w:pPr>
                    <w:widowControl/>
                    <w:jc w:val="center"/>
                    <w:rPr>
                      <w:kern w:val="0"/>
                      <w:szCs w:val="21"/>
                    </w:rPr>
                  </w:pPr>
                  <w:r>
                    <w:rPr>
                      <w:kern w:val="0"/>
                      <w:szCs w:val="21"/>
                    </w:rPr>
                    <w:t>　</w:t>
                  </w:r>
                </w:p>
              </w:tc>
              <w:tc>
                <w:tcPr>
                  <w:tcW w:w="682" w:type="pct"/>
                  <w:noWrap w:val="0"/>
                  <w:vAlign w:val="center"/>
                </w:tcPr>
                <w:p>
                  <w:pPr>
                    <w:widowControl/>
                    <w:jc w:val="center"/>
                    <w:rPr>
                      <w:kern w:val="0"/>
                      <w:szCs w:val="21"/>
                    </w:rPr>
                  </w:pPr>
                  <w:r>
                    <w:rPr>
                      <w:kern w:val="0"/>
                      <w:szCs w:val="21"/>
                    </w:rPr>
                    <w:t>　</w:t>
                  </w:r>
                </w:p>
              </w:tc>
              <w:tc>
                <w:tcPr>
                  <w:tcW w:w="589" w:type="pct"/>
                  <w:noWrap w:val="0"/>
                  <w:vAlign w:val="center"/>
                </w:tcPr>
                <w:p>
                  <w:pPr>
                    <w:widowControl/>
                    <w:jc w:val="center"/>
                    <w:rPr>
                      <w:kern w:val="0"/>
                      <w:szCs w:val="21"/>
                    </w:rPr>
                  </w:pPr>
                  <w:r>
                    <w:rPr>
                      <w:kern w:val="0"/>
                      <w:szCs w:val="21"/>
                    </w:rPr>
                    <w:t>　</w:t>
                  </w:r>
                </w:p>
              </w:tc>
              <w:tc>
                <w:tcPr>
                  <w:tcW w:w="774" w:type="pct"/>
                  <w:noWrap w:val="0"/>
                  <w:vAlign w:val="center"/>
                </w:tcPr>
                <w:p>
                  <w:pPr>
                    <w:widowControl/>
                    <w:jc w:val="center"/>
                    <w:rPr>
                      <w:kern w:val="0"/>
                      <w:szCs w:val="21"/>
                    </w:rPr>
                  </w:pPr>
                  <w:r>
                    <w:rPr>
                      <w:kern w:val="0"/>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1</w:t>
                  </w:r>
                </w:p>
              </w:tc>
              <w:tc>
                <w:tcPr>
                  <w:tcW w:w="1648" w:type="pct"/>
                  <w:noWrap w:val="0"/>
                  <w:vAlign w:val="center"/>
                </w:tcPr>
                <w:p>
                  <w:pPr>
                    <w:widowControl/>
                    <w:jc w:val="center"/>
                    <w:rPr>
                      <w:kern w:val="0"/>
                      <w:szCs w:val="21"/>
                    </w:rPr>
                  </w:pPr>
                  <w:r>
                    <w:rPr>
                      <w:rFonts w:hint="eastAsia"/>
                      <w:kern w:val="0"/>
                      <w:szCs w:val="21"/>
                    </w:rPr>
                    <w:t>宣传措施</w:t>
                  </w:r>
                </w:p>
              </w:tc>
              <w:tc>
                <w:tcPr>
                  <w:tcW w:w="682" w:type="pct"/>
                  <w:noWrap w:val="0"/>
                  <w:vAlign w:val="center"/>
                </w:tcPr>
                <w:p>
                  <w:pPr>
                    <w:widowControl/>
                    <w:jc w:val="center"/>
                    <w:rPr>
                      <w:kern w:val="0"/>
                      <w:szCs w:val="21"/>
                    </w:rPr>
                  </w:pPr>
                  <w:r>
                    <w:rPr>
                      <w:kern w:val="0"/>
                      <w:szCs w:val="21"/>
                    </w:rPr>
                    <w:t>　</w:t>
                  </w:r>
                </w:p>
              </w:tc>
              <w:tc>
                <w:tcPr>
                  <w:tcW w:w="682" w:type="pct"/>
                  <w:noWrap w:val="0"/>
                  <w:vAlign w:val="center"/>
                </w:tcPr>
                <w:p>
                  <w:pPr>
                    <w:widowControl/>
                    <w:jc w:val="center"/>
                    <w:rPr>
                      <w:kern w:val="0"/>
                      <w:szCs w:val="21"/>
                    </w:rPr>
                  </w:pPr>
                  <w:r>
                    <w:rPr>
                      <w:kern w:val="0"/>
                      <w:szCs w:val="21"/>
                    </w:rPr>
                    <w:t>　</w:t>
                  </w:r>
                </w:p>
              </w:tc>
              <w:tc>
                <w:tcPr>
                  <w:tcW w:w="589" w:type="pct"/>
                  <w:noWrap w:val="0"/>
                  <w:vAlign w:val="center"/>
                </w:tcPr>
                <w:p>
                  <w:pPr>
                    <w:widowControl/>
                    <w:jc w:val="center"/>
                    <w:rPr>
                      <w:kern w:val="0"/>
                      <w:szCs w:val="21"/>
                    </w:rPr>
                  </w:pPr>
                  <w:r>
                    <w:rPr>
                      <w:kern w:val="0"/>
                      <w:szCs w:val="21"/>
                    </w:rPr>
                    <w:t>　</w:t>
                  </w:r>
                </w:p>
              </w:tc>
              <w:tc>
                <w:tcPr>
                  <w:tcW w:w="774" w:type="pct"/>
                  <w:noWrap w:val="0"/>
                  <w:vAlign w:val="center"/>
                </w:tcPr>
                <w:p>
                  <w:pPr>
                    <w:widowControl/>
                    <w:jc w:val="center"/>
                    <w:rPr>
                      <w:kern w:val="0"/>
                      <w:szCs w:val="21"/>
                    </w:rPr>
                  </w:pPr>
                  <w:r>
                    <w:rPr>
                      <w:kern w:val="0"/>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1.1</w:t>
                  </w:r>
                </w:p>
              </w:tc>
              <w:tc>
                <w:tcPr>
                  <w:tcW w:w="1648" w:type="pct"/>
                  <w:noWrap w:val="0"/>
                  <w:vAlign w:val="center"/>
                </w:tcPr>
                <w:p>
                  <w:pPr>
                    <w:widowControl/>
                    <w:jc w:val="center"/>
                    <w:rPr>
                      <w:kern w:val="0"/>
                      <w:szCs w:val="21"/>
                    </w:rPr>
                  </w:pPr>
                  <w:r>
                    <w:rPr>
                      <w:rFonts w:hint="eastAsia"/>
                      <w:kern w:val="0"/>
                      <w:szCs w:val="21"/>
                    </w:rPr>
                    <w:t>宣传手册</w:t>
                  </w:r>
                </w:p>
              </w:tc>
              <w:tc>
                <w:tcPr>
                  <w:tcW w:w="682" w:type="pct"/>
                  <w:noWrap w:val="0"/>
                  <w:vAlign w:val="center"/>
                </w:tcPr>
                <w:p>
                  <w:pPr>
                    <w:widowControl/>
                    <w:jc w:val="center"/>
                    <w:rPr>
                      <w:kern w:val="0"/>
                      <w:szCs w:val="21"/>
                    </w:rPr>
                  </w:pPr>
                  <w:r>
                    <w:rPr>
                      <w:rFonts w:hint="eastAsia"/>
                      <w:kern w:val="0"/>
                      <w:szCs w:val="21"/>
                    </w:rPr>
                    <w:t>册</w:t>
                  </w:r>
                  <w:r>
                    <w:rPr>
                      <w:kern w:val="0"/>
                      <w:szCs w:val="21"/>
                    </w:rPr>
                    <w:t>/</w:t>
                  </w:r>
                  <w:r>
                    <w:rPr>
                      <w:rFonts w:hint="eastAsia"/>
                      <w:kern w:val="0"/>
                      <w:szCs w:val="21"/>
                    </w:rPr>
                    <w:t>年</w:t>
                  </w:r>
                </w:p>
              </w:tc>
              <w:tc>
                <w:tcPr>
                  <w:tcW w:w="682" w:type="pct"/>
                  <w:noWrap w:val="0"/>
                  <w:vAlign w:val="center"/>
                </w:tcPr>
                <w:p>
                  <w:pPr>
                    <w:widowControl/>
                    <w:jc w:val="center"/>
                    <w:rPr>
                      <w:kern w:val="0"/>
                      <w:szCs w:val="21"/>
                    </w:rPr>
                  </w:pPr>
                  <w:r>
                    <w:rPr>
                      <w:kern w:val="0"/>
                      <w:szCs w:val="21"/>
                    </w:rPr>
                    <w:t>15</w:t>
                  </w:r>
                </w:p>
              </w:tc>
              <w:tc>
                <w:tcPr>
                  <w:tcW w:w="589" w:type="pct"/>
                  <w:noWrap w:val="0"/>
                  <w:vAlign w:val="center"/>
                </w:tcPr>
                <w:p>
                  <w:pPr>
                    <w:widowControl/>
                    <w:jc w:val="center"/>
                    <w:rPr>
                      <w:kern w:val="0"/>
                      <w:szCs w:val="21"/>
                    </w:rPr>
                  </w:pPr>
                  <w:r>
                    <w:rPr>
                      <w:kern w:val="0"/>
                      <w:szCs w:val="21"/>
                    </w:rPr>
                    <w:t>11</w:t>
                  </w:r>
                </w:p>
              </w:tc>
              <w:tc>
                <w:tcPr>
                  <w:tcW w:w="774" w:type="pct"/>
                  <w:noWrap w:val="0"/>
                  <w:vAlign w:val="center"/>
                </w:tcPr>
                <w:p>
                  <w:pPr>
                    <w:widowControl/>
                    <w:jc w:val="center"/>
                    <w:rPr>
                      <w:kern w:val="0"/>
                      <w:szCs w:val="21"/>
                    </w:rPr>
                  </w:pPr>
                  <w:r>
                    <w:rPr>
                      <w:kern w:val="0"/>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26" w:type="pct"/>
                  <w:gridSpan w:val="5"/>
                  <w:noWrap w:val="0"/>
                  <w:vAlign w:val="center"/>
                </w:tcPr>
                <w:p>
                  <w:pPr>
                    <w:widowControl/>
                    <w:jc w:val="center"/>
                    <w:rPr>
                      <w:kern w:val="0"/>
                      <w:szCs w:val="21"/>
                    </w:rPr>
                  </w:pPr>
                  <w:r>
                    <w:rPr>
                      <w:rFonts w:hint="eastAsia"/>
                      <w:kern w:val="0"/>
                      <w:szCs w:val="21"/>
                    </w:rPr>
                    <w:t>第二部分环境监测措施</w:t>
                  </w:r>
                </w:p>
              </w:tc>
              <w:tc>
                <w:tcPr>
                  <w:tcW w:w="774" w:type="pct"/>
                  <w:noWrap/>
                  <w:vAlign w:val="center"/>
                </w:tcPr>
                <w:p>
                  <w:pPr>
                    <w:widowControl/>
                    <w:jc w:val="center"/>
                    <w:rPr>
                      <w:kern w:val="0"/>
                      <w:szCs w:val="21"/>
                    </w:rPr>
                  </w:pPr>
                  <w:r>
                    <w:rPr>
                      <w:kern w:val="0"/>
                      <w:szCs w:val="21"/>
                    </w:rPr>
                    <w:t xml:space="preserve">2.16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1</w:t>
                  </w:r>
                </w:p>
              </w:tc>
              <w:tc>
                <w:tcPr>
                  <w:tcW w:w="1648" w:type="pct"/>
                  <w:noWrap w:val="0"/>
                  <w:vAlign w:val="center"/>
                </w:tcPr>
                <w:p>
                  <w:pPr>
                    <w:widowControl/>
                    <w:jc w:val="center"/>
                    <w:rPr>
                      <w:kern w:val="0"/>
                      <w:szCs w:val="21"/>
                    </w:rPr>
                  </w:pPr>
                  <w:r>
                    <w:rPr>
                      <w:rFonts w:hint="eastAsia"/>
                      <w:kern w:val="0"/>
                      <w:szCs w:val="21"/>
                    </w:rPr>
                    <w:t>地表水水质监测</w:t>
                  </w:r>
                </w:p>
              </w:tc>
              <w:tc>
                <w:tcPr>
                  <w:tcW w:w="682" w:type="pct"/>
                  <w:noWrap w:val="0"/>
                  <w:vAlign w:val="center"/>
                </w:tcPr>
                <w:p>
                  <w:pPr>
                    <w:widowControl/>
                    <w:jc w:val="center"/>
                    <w:rPr>
                      <w:kern w:val="0"/>
                      <w:szCs w:val="21"/>
                    </w:rPr>
                  </w:pPr>
                  <w:r>
                    <w:rPr>
                      <w:rFonts w:hint="eastAsia"/>
                      <w:kern w:val="0"/>
                      <w:szCs w:val="21"/>
                    </w:rPr>
                    <w:t>点次</w:t>
                  </w:r>
                </w:p>
              </w:tc>
              <w:tc>
                <w:tcPr>
                  <w:tcW w:w="682" w:type="pct"/>
                  <w:noWrap w:val="0"/>
                  <w:vAlign w:val="center"/>
                </w:tcPr>
                <w:p>
                  <w:pPr>
                    <w:widowControl/>
                    <w:jc w:val="center"/>
                    <w:rPr>
                      <w:kern w:val="0"/>
                      <w:szCs w:val="21"/>
                    </w:rPr>
                  </w:pPr>
                  <w:r>
                    <w:rPr>
                      <w:kern w:val="0"/>
                      <w:szCs w:val="21"/>
                    </w:rPr>
                    <w:t>5400</w:t>
                  </w:r>
                </w:p>
              </w:tc>
              <w:tc>
                <w:tcPr>
                  <w:tcW w:w="589" w:type="pct"/>
                  <w:noWrap w:val="0"/>
                  <w:vAlign w:val="center"/>
                </w:tcPr>
                <w:p>
                  <w:pPr>
                    <w:widowControl/>
                    <w:jc w:val="center"/>
                    <w:rPr>
                      <w:kern w:val="0"/>
                      <w:szCs w:val="21"/>
                    </w:rPr>
                  </w:pPr>
                  <w:r>
                    <w:rPr>
                      <w:kern w:val="0"/>
                      <w:szCs w:val="21"/>
                    </w:rPr>
                    <w:t>4</w:t>
                  </w:r>
                </w:p>
              </w:tc>
              <w:tc>
                <w:tcPr>
                  <w:tcW w:w="774" w:type="pct"/>
                  <w:noWrap w:val="0"/>
                  <w:vAlign w:val="center"/>
                </w:tcPr>
                <w:p>
                  <w:pPr>
                    <w:widowControl/>
                    <w:jc w:val="center"/>
                    <w:rPr>
                      <w:kern w:val="0"/>
                      <w:szCs w:val="21"/>
                    </w:rPr>
                  </w:pPr>
                  <w:r>
                    <w:rPr>
                      <w:kern w:val="0"/>
                      <w:szCs w:val="21"/>
                    </w:rPr>
                    <w:t xml:space="preserve">2.16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26" w:type="pct"/>
                  <w:gridSpan w:val="5"/>
                  <w:noWrap w:val="0"/>
                  <w:vAlign w:val="center"/>
                </w:tcPr>
                <w:p>
                  <w:pPr>
                    <w:widowControl/>
                    <w:jc w:val="center"/>
                    <w:rPr>
                      <w:kern w:val="0"/>
                      <w:szCs w:val="21"/>
                    </w:rPr>
                  </w:pPr>
                  <w:r>
                    <w:rPr>
                      <w:rFonts w:hint="eastAsia"/>
                      <w:kern w:val="0"/>
                      <w:szCs w:val="21"/>
                    </w:rPr>
                    <w:t>第三部分环境保护仪器设备及安装</w:t>
                  </w:r>
                </w:p>
              </w:tc>
              <w:tc>
                <w:tcPr>
                  <w:tcW w:w="774" w:type="pct"/>
                  <w:noWrap w:val="0"/>
                  <w:vAlign w:val="center"/>
                </w:tcPr>
                <w:p>
                  <w:pPr>
                    <w:widowControl/>
                    <w:jc w:val="center"/>
                    <w:rPr>
                      <w:kern w:val="0"/>
                      <w:szCs w:val="21"/>
                    </w:rPr>
                  </w:pPr>
                  <w:r>
                    <w:rPr>
                      <w:kern w:val="0"/>
                      <w:szCs w:val="21"/>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26" w:type="pct"/>
                  <w:gridSpan w:val="5"/>
                  <w:noWrap w:val="0"/>
                  <w:vAlign w:val="center"/>
                </w:tcPr>
                <w:p>
                  <w:pPr>
                    <w:widowControl/>
                    <w:jc w:val="center"/>
                    <w:rPr>
                      <w:kern w:val="0"/>
                      <w:szCs w:val="21"/>
                    </w:rPr>
                  </w:pPr>
                  <w:r>
                    <w:rPr>
                      <w:rFonts w:hint="eastAsia"/>
                      <w:kern w:val="0"/>
                      <w:szCs w:val="21"/>
                    </w:rPr>
                    <w:t>第四部分环境保护临时措施</w:t>
                  </w:r>
                </w:p>
              </w:tc>
              <w:tc>
                <w:tcPr>
                  <w:tcW w:w="774" w:type="pct"/>
                  <w:noWrap w:val="0"/>
                  <w:vAlign w:val="center"/>
                </w:tcPr>
                <w:p>
                  <w:pPr>
                    <w:widowControl/>
                    <w:jc w:val="center"/>
                    <w:rPr>
                      <w:kern w:val="0"/>
                      <w:szCs w:val="21"/>
                    </w:rPr>
                  </w:pPr>
                  <w:r>
                    <w:rPr>
                      <w:kern w:val="0"/>
                      <w:szCs w:val="21"/>
                    </w:rPr>
                    <w:t xml:space="preserve">18.46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5" w:type="pct"/>
                  <w:noWrap w:val="0"/>
                  <w:vAlign w:val="center"/>
                </w:tcPr>
                <w:p>
                  <w:pPr>
                    <w:widowControl/>
                    <w:jc w:val="center"/>
                    <w:rPr>
                      <w:kern w:val="0"/>
                      <w:szCs w:val="21"/>
                    </w:rPr>
                  </w:pPr>
                  <w:r>
                    <w:rPr>
                      <w:kern w:val="0"/>
                      <w:szCs w:val="21"/>
                    </w:rPr>
                    <w:t>　</w:t>
                  </w:r>
                </w:p>
              </w:tc>
              <w:tc>
                <w:tcPr>
                  <w:tcW w:w="3601" w:type="pct"/>
                  <w:gridSpan w:val="4"/>
                  <w:noWrap w:val="0"/>
                  <w:vAlign w:val="center"/>
                </w:tcPr>
                <w:p>
                  <w:pPr>
                    <w:widowControl/>
                    <w:jc w:val="center"/>
                    <w:rPr>
                      <w:kern w:val="0"/>
                      <w:szCs w:val="21"/>
                    </w:rPr>
                  </w:pPr>
                  <w:r>
                    <w:rPr>
                      <w:rFonts w:hint="eastAsia"/>
                      <w:kern w:val="0"/>
                      <w:szCs w:val="21"/>
                    </w:rPr>
                    <w:t>一、废水处理</w:t>
                  </w:r>
                </w:p>
              </w:tc>
              <w:tc>
                <w:tcPr>
                  <w:tcW w:w="774" w:type="pct"/>
                  <w:noWrap w:val="0"/>
                  <w:vAlign w:val="center"/>
                </w:tcPr>
                <w:p>
                  <w:pPr>
                    <w:widowControl/>
                    <w:jc w:val="center"/>
                    <w:rPr>
                      <w:kern w:val="0"/>
                      <w:szCs w:val="21"/>
                    </w:rPr>
                  </w:pPr>
                  <w:r>
                    <w:rPr>
                      <w:kern w:val="0"/>
                      <w:szCs w:val="21"/>
                    </w:rPr>
                    <w:t xml:space="preserve">15.80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25" w:type="pct"/>
                  <w:noWrap w:val="0"/>
                  <w:vAlign w:val="center"/>
                </w:tcPr>
                <w:p>
                  <w:pPr>
                    <w:widowControl/>
                    <w:jc w:val="center"/>
                    <w:rPr>
                      <w:kern w:val="0"/>
                      <w:szCs w:val="21"/>
                    </w:rPr>
                  </w:pPr>
                  <w:r>
                    <w:rPr>
                      <w:kern w:val="0"/>
                      <w:szCs w:val="21"/>
                    </w:rPr>
                    <w:t>1</w:t>
                  </w:r>
                </w:p>
              </w:tc>
              <w:tc>
                <w:tcPr>
                  <w:tcW w:w="1648" w:type="pct"/>
                  <w:noWrap w:val="0"/>
                  <w:vAlign w:val="center"/>
                </w:tcPr>
                <w:p>
                  <w:pPr>
                    <w:widowControl/>
                    <w:jc w:val="center"/>
                    <w:rPr>
                      <w:kern w:val="0"/>
                      <w:szCs w:val="21"/>
                    </w:rPr>
                  </w:pPr>
                  <w:r>
                    <w:rPr>
                      <w:rFonts w:hint="eastAsia"/>
                      <w:kern w:val="0"/>
                      <w:szCs w:val="21"/>
                    </w:rPr>
                    <w:t>混凝土拌和废水处理设施</w:t>
                  </w:r>
                </w:p>
              </w:tc>
              <w:tc>
                <w:tcPr>
                  <w:tcW w:w="682" w:type="pct"/>
                  <w:noWrap w:val="0"/>
                  <w:vAlign w:val="center"/>
                </w:tcPr>
                <w:p>
                  <w:pPr>
                    <w:widowControl/>
                    <w:jc w:val="center"/>
                    <w:rPr>
                      <w:kern w:val="0"/>
                      <w:szCs w:val="21"/>
                    </w:rPr>
                  </w:pPr>
                  <w:r>
                    <w:rPr>
                      <w:kern w:val="0"/>
                      <w:szCs w:val="21"/>
                    </w:rPr>
                    <w:t>　</w:t>
                  </w:r>
                </w:p>
              </w:tc>
              <w:tc>
                <w:tcPr>
                  <w:tcW w:w="682" w:type="pct"/>
                  <w:noWrap w:val="0"/>
                  <w:vAlign w:val="center"/>
                </w:tcPr>
                <w:p>
                  <w:pPr>
                    <w:widowControl/>
                    <w:jc w:val="center"/>
                    <w:rPr>
                      <w:kern w:val="0"/>
                      <w:szCs w:val="21"/>
                    </w:rPr>
                  </w:pPr>
                  <w:r>
                    <w:rPr>
                      <w:kern w:val="0"/>
                      <w:szCs w:val="21"/>
                    </w:rPr>
                    <w:t>　</w:t>
                  </w:r>
                </w:p>
              </w:tc>
              <w:tc>
                <w:tcPr>
                  <w:tcW w:w="589" w:type="pct"/>
                  <w:noWrap w:val="0"/>
                  <w:vAlign w:val="center"/>
                </w:tcPr>
                <w:p>
                  <w:pPr>
                    <w:widowControl/>
                    <w:jc w:val="center"/>
                    <w:rPr>
                      <w:kern w:val="0"/>
                      <w:szCs w:val="21"/>
                    </w:rPr>
                  </w:pPr>
                  <w:r>
                    <w:rPr>
                      <w:kern w:val="0"/>
                      <w:szCs w:val="21"/>
                    </w:rPr>
                    <w:t>　</w:t>
                  </w:r>
                </w:p>
              </w:tc>
              <w:tc>
                <w:tcPr>
                  <w:tcW w:w="774" w:type="pct"/>
                  <w:noWrap w:val="0"/>
                  <w:vAlign w:val="center"/>
                </w:tcPr>
                <w:p>
                  <w:pPr>
                    <w:widowControl/>
                    <w:jc w:val="center"/>
                    <w:rPr>
                      <w:kern w:val="0"/>
                      <w:szCs w:val="21"/>
                    </w:rPr>
                  </w:pPr>
                  <w:r>
                    <w:rPr>
                      <w:kern w:val="0"/>
                      <w:szCs w:val="21"/>
                    </w:rPr>
                    <w:t xml:space="preserve">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25" w:type="pct"/>
                  <w:noWrap w:val="0"/>
                  <w:vAlign w:val="center"/>
                </w:tcPr>
                <w:p>
                  <w:pPr>
                    <w:widowControl/>
                    <w:jc w:val="center"/>
                    <w:rPr>
                      <w:kern w:val="0"/>
                      <w:szCs w:val="21"/>
                    </w:rPr>
                  </w:pPr>
                  <w:r>
                    <w:rPr>
                      <w:kern w:val="0"/>
                      <w:szCs w:val="21"/>
                    </w:rPr>
                    <w:t>1.1</w:t>
                  </w:r>
                </w:p>
              </w:tc>
              <w:tc>
                <w:tcPr>
                  <w:tcW w:w="1648" w:type="pct"/>
                  <w:noWrap w:val="0"/>
                  <w:vAlign w:val="center"/>
                </w:tcPr>
                <w:p>
                  <w:pPr>
                    <w:widowControl/>
                    <w:jc w:val="center"/>
                    <w:rPr>
                      <w:kern w:val="0"/>
                      <w:szCs w:val="21"/>
                    </w:rPr>
                  </w:pPr>
                  <w:r>
                    <w:rPr>
                      <w:rFonts w:hint="eastAsia"/>
                      <w:kern w:val="0"/>
                      <w:szCs w:val="21"/>
                    </w:rPr>
                    <w:t>预沉池</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15000</w:t>
                  </w:r>
                </w:p>
              </w:tc>
              <w:tc>
                <w:tcPr>
                  <w:tcW w:w="589" w:type="pct"/>
                  <w:noWrap w:val="0"/>
                  <w:vAlign w:val="center"/>
                </w:tcPr>
                <w:p>
                  <w:pPr>
                    <w:widowControl/>
                    <w:jc w:val="center"/>
                    <w:rPr>
                      <w:kern w:val="0"/>
                      <w:szCs w:val="21"/>
                    </w:rPr>
                  </w:pPr>
                  <w:r>
                    <w:rPr>
                      <w:kern w:val="0"/>
                      <w:szCs w:val="21"/>
                    </w:rPr>
                    <w:t>2</w:t>
                  </w:r>
                </w:p>
              </w:tc>
              <w:tc>
                <w:tcPr>
                  <w:tcW w:w="774" w:type="pct"/>
                  <w:noWrap w:val="0"/>
                  <w:vAlign w:val="center"/>
                </w:tcPr>
                <w:p>
                  <w:pPr>
                    <w:widowControl/>
                    <w:jc w:val="center"/>
                    <w:rPr>
                      <w:kern w:val="0"/>
                      <w:szCs w:val="21"/>
                    </w:rPr>
                  </w:pPr>
                  <w:r>
                    <w:rPr>
                      <w:kern w:val="0"/>
                      <w:szCs w:val="21"/>
                    </w:rPr>
                    <w:t xml:space="preserve">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25" w:type="pct"/>
                  <w:noWrap w:val="0"/>
                  <w:vAlign w:val="center"/>
                </w:tcPr>
                <w:p>
                  <w:pPr>
                    <w:widowControl/>
                    <w:jc w:val="center"/>
                    <w:rPr>
                      <w:kern w:val="0"/>
                      <w:szCs w:val="21"/>
                    </w:rPr>
                  </w:pPr>
                  <w:r>
                    <w:rPr>
                      <w:kern w:val="0"/>
                      <w:szCs w:val="21"/>
                    </w:rPr>
                    <w:t>1.2</w:t>
                  </w:r>
                </w:p>
              </w:tc>
              <w:tc>
                <w:tcPr>
                  <w:tcW w:w="1648" w:type="pct"/>
                  <w:noWrap w:val="0"/>
                  <w:vAlign w:val="center"/>
                </w:tcPr>
                <w:p>
                  <w:pPr>
                    <w:widowControl/>
                    <w:jc w:val="center"/>
                    <w:rPr>
                      <w:kern w:val="0"/>
                      <w:szCs w:val="21"/>
                    </w:rPr>
                  </w:pPr>
                  <w:r>
                    <w:rPr>
                      <w:rFonts w:hint="eastAsia"/>
                      <w:kern w:val="0"/>
                      <w:szCs w:val="21"/>
                    </w:rPr>
                    <w:t>沉淀池</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15000</w:t>
                  </w:r>
                </w:p>
              </w:tc>
              <w:tc>
                <w:tcPr>
                  <w:tcW w:w="589" w:type="pct"/>
                  <w:noWrap w:val="0"/>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25" w:type="pct"/>
                  <w:noWrap w:val="0"/>
                  <w:vAlign w:val="center"/>
                </w:tcPr>
                <w:p>
                  <w:pPr>
                    <w:widowControl/>
                    <w:jc w:val="center"/>
                    <w:rPr>
                      <w:kern w:val="0"/>
                      <w:szCs w:val="21"/>
                    </w:rPr>
                  </w:pPr>
                  <w:r>
                    <w:rPr>
                      <w:kern w:val="0"/>
                      <w:szCs w:val="21"/>
                    </w:rPr>
                    <w:t>1.3</w:t>
                  </w:r>
                </w:p>
              </w:tc>
              <w:tc>
                <w:tcPr>
                  <w:tcW w:w="1648" w:type="pct"/>
                  <w:noWrap w:val="0"/>
                  <w:vAlign w:val="center"/>
                </w:tcPr>
                <w:p>
                  <w:pPr>
                    <w:widowControl/>
                    <w:jc w:val="center"/>
                    <w:rPr>
                      <w:kern w:val="0"/>
                      <w:szCs w:val="21"/>
                    </w:rPr>
                  </w:pPr>
                  <w:r>
                    <w:rPr>
                      <w:rFonts w:hint="eastAsia"/>
                      <w:kern w:val="0"/>
                      <w:szCs w:val="21"/>
                    </w:rPr>
                    <w:t>清水池</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12000</w:t>
                  </w:r>
                </w:p>
              </w:tc>
              <w:tc>
                <w:tcPr>
                  <w:tcW w:w="589" w:type="pct"/>
                  <w:noWrap w:val="0"/>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25" w:type="pct"/>
                  <w:noWrap w:val="0"/>
                  <w:vAlign w:val="center"/>
                </w:tcPr>
                <w:p>
                  <w:pPr>
                    <w:widowControl/>
                    <w:jc w:val="center"/>
                    <w:rPr>
                      <w:kern w:val="0"/>
                      <w:szCs w:val="21"/>
                    </w:rPr>
                  </w:pPr>
                  <w:r>
                    <w:rPr>
                      <w:kern w:val="0"/>
                      <w:szCs w:val="21"/>
                    </w:rPr>
                    <w:t>1.4</w:t>
                  </w:r>
                </w:p>
              </w:tc>
              <w:tc>
                <w:tcPr>
                  <w:tcW w:w="1648" w:type="pct"/>
                  <w:noWrap w:val="0"/>
                  <w:vAlign w:val="center"/>
                </w:tcPr>
                <w:p>
                  <w:pPr>
                    <w:widowControl/>
                    <w:jc w:val="center"/>
                    <w:rPr>
                      <w:kern w:val="0"/>
                      <w:szCs w:val="21"/>
                    </w:rPr>
                  </w:pPr>
                  <w:r>
                    <w:rPr>
                      <w:rFonts w:hint="eastAsia"/>
                      <w:kern w:val="0"/>
                      <w:szCs w:val="21"/>
                    </w:rPr>
                    <w:t>清水泵（回用泵）</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3000</w:t>
                  </w:r>
                </w:p>
              </w:tc>
              <w:tc>
                <w:tcPr>
                  <w:tcW w:w="589" w:type="pct"/>
                  <w:noWrap w:val="0"/>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1.5</w:t>
                  </w:r>
                </w:p>
              </w:tc>
              <w:tc>
                <w:tcPr>
                  <w:tcW w:w="1648" w:type="pct"/>
                  <w:noWrap w:val="0"/>
                  <w:vAlign w:val="center"/>
                </w:tcPr>
                <w:p>
                  <w:pPr>
                    <w:widowControl/>
                    <w:jc w:val="center"/>
                    <w:rPr>
                      <w:kern w:val="0"/>
                      <w:szCs w:val="21"/>
                    </w:rPr>
                  </w:pPr>
                  <w:r>
                    <w:rPr>
                      <w:rFonts w:hint="eastAsia"/>
                      <w:kern w:val="0"/>
                      <w:szCs w:val="21"/>
                    </w:rPr>
                    <w:t>潜污泵</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3000</w:t>
                  </w:r>
                </w:p>
              </w:tc>
              <w:tc>
                <w:tcPr>
                  <w:tcW w:w="589" w:type="pct"/>
                  <w:noWrap w:val="0"/>
                  <w:vAlign w:val="center"/>
                </w:tcPr>
                <w:p>
                  <w:pPr>
                    <w:widowControl/>
                    <w:jc w:val="center"/>
                    <w:rPr>
                      <w:kern w:val="0"/>
                      <w:szCs w:val="21"/>
                    </w:rPr>
                  </w:pPr>
                  <w:r>
                    <w:rPr>
                      <w:kern w:val="0"/>
                      <w:szCs w:val="21"/>
                    </w:rPr>
                    <w:t>2</w:t>
                  </w:r>
                </w:p>
              </w:tc>
              <w:tc>
                <w:tcPr>
                  <w:tcW w:w="774" w:type="pct"/>
                  <w:noWrap w:val="0"/>
                  <w:vAlign w:val="center"/>
                </w:tcPr>
                <w:p>
                  <w:pPr>
                    <w:widowControl/>
                    <w:jc w:val="center"/>
                    <w:rPr>
                      <w:kern w:val="0"/>
                      <w:szCs w:val="21"/>
                    </w:rPr>
                  </w:pPr>
                  <w:r>
                    <w:rPr>
                      <w:kern w:val="0"/>
                      <w:szCs w:val="21"/>
                    </w:rPr>
                    <w:t xml:space="preserve">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2</w:t>
                  </w:r>
                </w:p>
              </w:tc>
              <w:tc>
                <w:tcPr>
                  <w:tcW w:w="1648" w:type="pct"/>
                  <w:noWrap w:val="0"/>
                  <w:vAlign w:val="center"/>
                </w:tcPr>
                <w:p>
                  <w:pPr>
                    <w:widowControl/>
                    <w:jc w:val="center"/>
                    <w:rPr>
                      <w:kern w:val="0"/>
                      <w:szCs w:val="21"/>
                    </w:rPr>
                  </w:pPr>
                  <w:r>
                    <w:rPr>
                      <w:rFonts w:hint="eastAsia"/>
                      <w:kern w:val="0"/>
                      <w:szCs w:val="21"/>
                    </w:rPr>
                    <w:t>基坑废水处理设施</w:t>
                  </w:r>
                </w:p>
              </w:tc>
              <w:tc>
                <w:tcPr>
                  <w:tcW w:w="682" w:type="pct"/>
                  <w:noWrap w:val="0"/>
                  <w:vAlign w:val="center"/>
                </w:tcPr>
                <w:p>
                  <w:pPr>
                    <w:widowControl/>
                    <w:jc w:val="center"/>
                    <w:rPr>
                      <w:kern w:val="0"/>
                      <w:szCs w:val="21"/>
                    </w:rPr>
                  </w:pPr>
                  <w:r>
                    <w:rPr>
                      <w:kern w:val="0"/>
                      <w:szCs w:val="21"/>
                    </w:rPr>
                    <w:t>　</w:t>
                  </w:r>
                </w:p>
              </w:tc>
              <w:tc>
                <w:tcPr>
                  <w:tcW w:w="682" w:type="pct"/>
                  <w:noWrap w:val="0"/>
                  <w:vAlign w:val="center"/>
                </w:tcPr>
                <w:p>
                  <w:pPr>
                    <w:widowControl/>
                    <w:jc w:val="center"/>
                    <w:rPr>
                      <w:kern w:val="0"/>
                      <w:szCs w:val="21"/>
                    </w:rPr>
                  </w:pPr>
                  <w:r>
                    <w:rPr>
                      <w:kern w:val="0"/>
                      <w:szCs w:val="21"/>
                    </w:rPr>
                    <w:t>　</w:t>
                  </w:r>
                </w:p>
              </w:tc>
              <w:tc>
                <w:tcPr>
                  <w:tcW w:w="589" w:type="pct"/>
                  <w:noWrap w:val="0"/>
                  <w:vAlign w:val="center"/>
                </w:tcPr>
                <w:p>
                  <w:pPr>
                    <w:widowControl/>
                    <w:jc w:val="center"/>
                    <w:rPr>
                      <w:kern w:val="0"/>
                      <w:szCs w:val="21"/>
                    </w:rPr>
                  </w:pPr>
                  <w:r>
                    <w:rPr>
                      <w:kern w:val="0"/>
                      <w:szCs w:val="21"/>
                    </w:rPr>
                    <w:t>　</w:t>
                  </w:r>
                </w:p>
              </w:tc>
              <w:tc>
                <w:tcPr>
                  <w:tcW w:w="774" w:type="pct"/>
                  <w:noWrap w:val="0"/>
                  <w:vAlign w:val="center"/>
                </w:tcPr>
                <w:p>
                  <w:pPr>
                    <w:widowControl/>
                    <w:jc w:val="center"/>
                    <w:rPr>
                      <w:kern w:val="0"/>
                      <w:szCs w:val="21"/>
                    </w:rPr>
                  </w:pPr>
                  <w:r>
                    <w:rPr>
                      <w:kern w:val="0"/>
                      <w:szCs w:val="21"/>
                    </w:rPr>
                    <w:t xml:space="preserve">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2.1</w:t>
                  </w:r>
                </w:p>
              </w:tc>
              <w:tc>
                <w:tcPr>
                  <w:tcW w:w="1648" w:type="pct"/>
                  <w:noWrap w:val="0"/>
                  <w:vAlign w:val="center"/>
                </w:tcPr>
                <w:p>
                  <w:pPr>
                    <w:widowControl/>
                    <w:jc w:val="center"/>
                    <w:rPr>
                      <w:kern w:val="0"/>
                      <w:szCs w:val="21"/>
                    </w:rPr>
                  </w:pPr>
                  <w:r>
                    <w:rPr>
                      <w:rFonts w:hint="eastAsia"/>
                      <w:kern w:val="0"/>
                      <w:szCs w:val="21"/>
                    </w:rPr>
                    <w:t>沉淀池</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15000</w:t>
                  </w:r>
                </w:p>
              </w:tc>
              <w:tc>
                <w:tcPr>
                  <w:tcW w:w="589" w:type="pct"/>
                  <w:noWrap w:val="0"/>
                  <w:vAlign w:val="center"/>
                </w:tcPr>
                <w:p>
                  <w:pPr>
                    <w:widowControl/>
                    <w:jc w:val="center"/>
                    <w:rPr>
                      <w:kern w:val="0"/>
                      <w:szCs w:val="21"/>
                    </w:rPr>
                  </w:pPr>
                  <w:r>
                    <w:rPr>
                      <w:kern w:val="0"/>
                      <w:szCs w:val="21"/>
                    </w:rPr>
                    <w:t>2</w:t>
                  </w:r>
                </w:p>
              </w:tc>
              <w:tc>
                <w:tcPr>
                  <w:tcW w:w="774" w:type="pct"/>
                  <w:noWrap w:val="0"/>
                  <w:vAlign w:val="center"/>
                </w:tcPr>
                <w:p>
                  <w:pPr>
                    <w:widowControl/>
                    <w:jc w:val="center"/>
                    <w:rPr>
                      <w:kern w:val="0"/>
                      <w:szCs w:val="21"/>
                    </w:rPr>
                  </w:pPr>
                  <w:r>
                    <w:rPr>
                      <w:kern w:val="0"/>
                      <w:szCs w:val="21"/>
                    </w:rPr>
                    <w:t xml:space="preserve">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2.2</w:t>
                  </w:r>
                </w:p>
              </w:tc>
              <w:tc>
                <w:tcPr>
                  <w:tcW w:w="1648" w:type="pct"/>
                  <w:noWrap w:val="0"/>
                  <w:vAlign w:val="center"/>
                </w:tcPr>
                <w:p>
                  <w:pPr>
                    <w:widowControl/>
                    <w:jc w:val="center"/>
                    <w:rPr>
                      <w:kern w:val="0"/>
                      <w:szCs w:val="21"/>
                    </w:rPr>
                  </w:pPr>
                  <w:r>
                    <w:rPr>
                      <w:rFonts w:hint="eastAsia"/>
                      <w:kern w:val="0"/>
                      <w:szCs w:val="21"/>
                    </w:rPr>
                    <w:t>反应池</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15000</w:t>
                  </w:r>
                </w:p>
              </w:tc>
              <w:tc>
                <w:tcPr>
                  <w:tcW w:w="589" w:type="pct"/>
                  <w:noWrap w:val="0"/>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2.3</w:t>
                  </w:r>
                </w:p>
              </w:tc>
              <w:tc>
                <w:tcPr>
                  <w:tcW w:w="1648" w:type="pct"/>
                  <w:noWrap w:val="0"/>
                  <w:vAlign w:val="center"/>
                </w:tcPr>
                <w:p>
                  <w:pPr>
                    <w:widowControl/>
                    <w:jc w:val="center"/>
                    <w:rPr>
                      <w:kern w:val="0"/>
                      <w:szCs w:val="21"/>
                    </w:rPr>
                  </w:pPr>
                  <w:r>
                    <w:rPr>
                      <w:rFonts w:hint="eastAsia"/>
                      <w:kern w:val="0"/>
                      <w:szCs w:val="21"/>
                    </w:rPr>
                    <w:t>清水池</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12000</w:t>
                  </w:r>
                </w:p>
              </w:tc>
              <w:tc>
                <w:tcPr>
                  <w:tcW w:w="589" w:type="pct"/>
                  <w:noWrap w:val="0"/>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2.4</w:t>
                  </w:r>
                </w:p>
              </w:tc>
              <w:tc>
                <w:tcPr>
                  <w:tcW w:w="1648" w:type="pct"/>
                  <w:noWrap w:val="0"/>
                  <w:vAlign w:val="center"/>
                </w:tcPr>
                <w:p>
                  <w:pPr>
                    <w:widowControl/>
                    <w:jc w:val="center"/>
                    <w:rPr>
                      <w:kern w:val="0"/>
                      <w:szCs w:val="21"/>
                    </w:rPr>
                  </w:pPr>
                  <w:r>
                    <w:rPr>
                      <w:rFonts w:hint="eastAsia"/>
                      <w:kern w:val="0"/>
                      <w:szCs w:val="21"/>
                    </w:rPr>
                    <w:t>清水泵（回用泵）</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3000</w:t>
                  </w:r>
                </w:p>
              </w:tc>
              <w:tc>
                <w:tcPr>
                  <w:tcW w:w="589" w:type="pct"/>
                  <w:noWrap w:val="0"/>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2.5</w:t>
                  </w:r>
                </w:p>
              </w:tc>
              <w:tc>
                <w:tcPr>
                  <w:tcW w:w="1648" w:type="pct"/>
                  <w:noWrap w:val="0"/>
                  <w:vAlign w:val="center"/>
                </w:tcPr>
                <w:p>
                  <w:pPr>
                    <w:widowControl/>
                    <w:jc w:val="center"/>
                    <w:rPr>
                      <w:kern w:val="0"/>
                      <w:szCs w:val="21"/>
                    </w:rPr>
                  </w:pPr>
                  <w:r>
                    <w:rPr>
                      <w:rFonts w:hint="eastAsia"/>
                      <w:kern w:val="0"/>
                      <w:szCs w:val="21"/>
                    </w:rPr>
                    <w:t>潜污泵</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3000</w:t>
                  </w:r>
                </w:p>
              </w:tc>
              <w:tc>
                <w:tcPr>
                  <w:tcW w:w="589" w:type="pct"/>
                  <w:noWrap w:val="0"/>
                  <w:vAlign w:val="center"/>
                </w:tcPr>
                <w:p>
                  <w:pPr>
                    <w:widowControl/>
                    <w:jc w:val="center"/>
                    <w:rPr>
                      <w:kern w:val="0"/>
                      <w:szCs w:val="21"/>
                    </w:rPr>
                  </w:pPr>
                  <w:r>
                    <w:rPr>
                      <w:kern w:val="0"/>
                      <w:szCs w:val="21"/>
                    </w:rPr>
                    <w:t>2</w:t>
                  </w:r>
                </w:p>
              </w:tc>
              <w:tc>
                <w:tcPr>
                  <w:tcW w:w="774" w:type="pct"/>
                  <w:noWrap w:val="0"/>
                  <w:vAlign w:val="center"/>
                </w:tcPr>
                <w:p>
                  <w:pPr>
                    <w:widowControl/>
                    <w:jc w:val="center"/>
                    <w:rPr>
                      <w:kern w:val="0"/>
                      <w:szCs w:val="21"/>
                    </w:rPr>
                  </w:pPr>
                  <w:r>
                    <w:rPr>
                      <w:kern w:val="0"/>
                      <w:szCs w:val="21"/>
                    </w:rPr>
                    <w:t xml:space="preserve">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rFonts w:hint="eastAsia"/>
                      <w:kern w:val="0"/>
                      <w:szCs w:val="21"/>
                    </w:rPr>
                    <w:t>3</w:t>
                  </w:r>
                </w:p>
              </w:tc>
              <w:tc>
                <w:tcPr>
                  <w:tcW w:w="1648" w:type="pct"/>
                  <w:noWrap w:val="0"/>
                  <w:vAlign w:val="center"/>
                </w:tcPr>
                <w:p>
                  <w:pPr>
                    <w:widowControl/>
                    <w:jc w:val="center"/>
                    <w:rPr>
                      <w:kern w:val="0"/>
                      <w:szCs w:val="21"/>
                    </w:rPr>
                  </w:pPr>
                  <w:r>
                    <w:rPr>
                      <w:rFonts w:hint="eastAsia"/>
                      <w:kern w:val="0"/>
                      <w:szCs w:val="21"/>
                    </w:rPr>
                    <w:t>生活污水处理设施</w:t>
                  </w:r>
                </w:p>
              </w:tc>
              <w:tc>
                <w:tcPr>
                  <w:tcW w:w="682" w:type="pct"/>
                  <w:noWrap w:val="0"/>
                  <w:vAlign w:val="center"/>
                </w:tcPr>
                <w:p>
                  <w:pPr>
                    <w:widowControl/>
                    <w:jc w:val="center"/>
                    <w:rPr>
                      <w:kern w:val="0"/>
                      <w:szCs w:val="21"/>
                    </w:rPr>
                  </w:pPr>
                  <w:r>
                    <w:rPr>
                      <w:kern w:val="0"/>
                      <w:szCs w:val="21"/>
                    </w:rPr>
                    <w:t>　</w:t>
                  </w:r>
                </w:p>
              </w:tc>
              <w:tc>
                <w:tcPr>
                  <w:tcW w:w="682" w:type="pct"/>
                  <w:noWrap w:val="0"/>
                  <w:vAlign w:val="center"/>
                </w:tcPr>
                <w:p>
                  <w:pPr>
                    <w:widowControl/>
                    <w:jc w:val="center"/>
                    <w:rPr>
                      <w:kern w:val="0"/>
                      <w:szCs w:val="21"/>
                    </w:rPr>
                  </w:pPr>
                  <w:r>
                    <w:rPr>
                      <w:kern w:val="0"/>
                      <w:szCs w:val="21"/>
                    </w:rPr>
                    <w:t>　</w:t>
                  </w:r>
                </w:p>
              </w:tc>
              <w:tc>
                <w:tcPr>
                  <w:tcW w:w="589" w:type="pct"/>
                  <w:noWrap w:val="0"/>
                  <w:vAlign w:val="center"/>
                </w:tcPr>
                <w:p>
                  <w:pPr>
                    <w:widowControl/>
                    <w:jc w:val="center"/>
                    <w:rPr>
                      <w:kern w:val="0"/>
                      <w:szCs w:val="21"/>
                    </w:rPr>
                  </w:pPr>
                  <w:r>
                    <w:rPr>
                      <w:kern w:val="0"/>
                      <w:szCs w:val="21"/>
                    </w:rPr>
                    <w:t>　</w:t>
                  </w:r>
                </w:p>
              </w:tc>
              <w:tc>
                <w:tcPr>
                  <w:tcW w:w="774" w:type="pct"/>
                  <w:noWrap w:val="0"/>
                  <w:vAlign w:val="center"/>
                </w:tcPr>
                <w:p>
                  <w:pPr>
                    <w:widowControl/>
                    <w:jc w:val="center"/>
                    <w:rPr>
                      <w:kern w:val="0"/>
                      <w:szCs w:val="21"/>
                    </w:rPr>
                  </w:pPr>
                  <w:r>
                    <w:rPr>
                      <w:kern w:val="0"/>
                      <w:szCs w:val="21"/>
                    </w:rPr>
                    <w:t xml:space="preserve">2.60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rFonts w:hint="eastAsia"/>
                      <w:kern w:val="0"/>
                      <w:szCs w:val="21"/>
                    </w:rPr>
                    <w:t>3</w:t>
                  </w:r>
                  <w:r>
                    <w:rPr>
                      <w:kern w:val="0"/>
                      <w:szCs w:val="21"/>
                    </w:rPr>
                    <w:t>.1</w:t>
                  </w:r>
                </w:p>
              </w:tc>
              <w:tc>
                <w:tcPr>
                  <w:tcW w:w="1648" w:type="pct"/>
                  <w:noWrap w:val="0"/>
                  <w:vAlign w:val="center"/>
                </w:tcPr>
                <w:p>
                  <w:pPr>
                    <w:widowControl/>
                    <w:jc w:val="center"/>
                    <w:rPr>
                      <w:kern w:val="0"/>
                      <w:szCs w:val="21"/>
                    </w:rPr>
                  </w:pPr>
                  <w:r>
                    <w:rPr>
                      <w:rFonts w:hint="eastAsia"/>
                      <w:kern w:val="0"/>
                      <w:szCs w:val="21"/>
                    </w:rPr>
                    <w:t>防渗旱厕</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11000</w:t>
                  </w:r>
                </w:p>
              </w:tc>
              <w:tc>
                <w:tcPr>
                  <w:tcW w:w="589" w:type="pct"/>
                  <w:noWrap w:val="0"/>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rFonts w:hint="eastAsia"/>
                      <w:kern w:val="0"/>
                      <w:szCs w:val="21"/>
                    </w:rPr>
                    <w:t>3</w:t>
                  </w:r>
                  <w:r>
                    <w:rPr>
                      <w:kern w:val="0"/>
                      <w:szCs w:val="21"/>
                    </w:rPr>
                    <w:t>.2</w:t>
                  </w:r>
                </w:p>
              </w:tc>
              <w:tc>
                <w:tcPr>
                  <w:tcW w:w="1648" w:type="pct"/>
                  <w:noWrap w:val="0"/>
                  <w:vAlign w:val="center"/>
                </w:tcPr>
                <w:p>
                  <w:pPr>
                    <w:widowControl/>
                    <w:jc w:val="center"/>
                    <w:rPr>
                      <w:kern w:val="0"/>
                      <w:szCs w:val="21"/>
                    </w:rPr>
                  </w:pPr>
                  <w:r>
                    <w:rPr>
                      <w:rFonts w:hint="eastAsia"/>
                      <w:kern w:val="0"/>
                      <w:szCs w:val="21"/>
                    </w:rPr>
                    <w:t>化粪池</w:t>
                  </w:r>
                </w:p>
              </w:tc>
              <w:tc>
                <w:tcPr>
                  <w:tcW w:w="682" w:type="pct"/>
                  <w:noWrap w:val="0"/>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15000</w:t>
                  </w:r>
                </w:p>
              </w:tc>
              <w:tc>
                <w:tcPr>
                  <w:tcW w:w="589" w:type="pct"/>
                  <w:noWrap w:val="0"/>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　</w:t>
                  </w:r>
                </w:p>
              </w:tc>
              <w:tc>
                <w:tcPr>
                  <w:tcW w:w="3601" w:type="pct"/>
                  <w:gridSpan w:val="4"/>
                  <w:noWrap w:val="0"/>
                  <w:vAlign w:val="center"/>
                </w:tcPr>
                <w:p>
                  <w:pPr>
                    <w:widowControl/>
                    <w:jc w:val="center"/>
                    <w:rPr>
                      <w:kern w:val="0"/>
                      <w:szCs w:val="21"/>
                    </w:rPr>
                  </w:pPr>
                  <w:r>
                    <w:rPr>
                      <w:rFonts w:hint="eastAsia"/>
                      <w:kern w:val="0"/>
                      <w:szCs w:val="21"/>
                    </w:rPr>
                    <w:t>二、环境空气质量控制</w:t>
                  </w:r>
                </w:p>
              </w:tc>
              <w:tc>
                <w:tcPr>
                  <w:tcW w:w="774" w:type="pct"/>
                  <w:noWrap w:val="0"/>
                  <w:vAlign w:val="center"/>
                </w:tcPr>
                <w:p>
                  <w:pPr>
                    <w:widowControl/>
                    <w:jc w:val="center"/>
                    <w:rPr>
                      <w:kern w:val="0"/>
                      <w:szCs w:val="21"/>
                    </w:rPr>
                  </w:pPr>
                  <w:r>
                    <w:rPr>
                      <w:kern w:val="0"/>
                      <w:szCs w:val="21"/>
                    </w:rPr>
                    <w:t xml:space="preserve">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1</w:t>
                  </w:r>
                </w:p>
              </w:tc>
              <w:tc>
                <w:tcPr>
                  <w:tcW w:w="1648" w:type="pct"/>
                  <w:noWrap w:val="0"/>
                  <w:vAlign w:val="center"/>
                </w:tcPr>
                <w:p>
                  <w:pPr>
                    <w:widowControl/>
                    <w:jc w:val="center"/>
                    <w:rPr>
                      <w:kern w:val="0"/>
                      <w:szCs w:val="21"/>
                    </w:rPr>
                  </w:pPr>
                  <w:r>
                    <w:rPr>
                      <w:rFonts w:hint="eastAsia"/>
                      <w:kern w:val="0"/>
                      <w:szCs w:val="21"/>
                    </w:rPr>
                    <w:t>砼拌和屏蔽棚</w:t>
                  </w:r>
                </w:p>
              </w:tc>
              <w:tc>
                <w:tcPr>
                  <w:tcW w:w="682" w:type="pct"/>
                  <w:noWrap/>
                  <w:vAlign w:val="center"/>
                </w:tcPr>
                <w:p>
                  <w:pPr>
                    <w:widowControl/>
                    <w:jc w:val="center"/>
                    <w:rPr>
                      <w:kern w:val="0"/>
                      <w:szCs w:val="21"/>
                    </w:rPr>
                  </w:pPr>
                  <w:r>
                    <w:rPr>
                      <w:rFonts w:hint="eastAsia"/>
                      <w:kern w:val="0"/>
                      <w:szCs w:val="21"/>
                    </w:rPr>
                    <w:t>个</w:t>
                  </w:r>
                </w:p>
              </w:tc>
              <w:tc>
                <w:tcPr>
                  <w:tcW w:w="682" w:type="pct"/>
                  <w:noWrap/>
                  <w:vAlign w:val="center"/>
                </w:tcPr>
                <w:p>
                  <w:pPr>
                    <w:widowControl/>
                    <w:jc w:val="center"/>
                    <w:rPr>
                      <w:kern w:val="0"/>
                      <w:szCs w:val="21"/>
                    </w:rPr>
                  </w:pPr>
                  <w:r>
                    <w:rPr>
                      <w:kern w:val="0"/>
                      <w:szCs w:val="21"/>
                    </w:rPr>
                    <w:t>2000</w:t>
                  </w:r>
                </w:p>
              </w:tc>
              <w:tc>
                <w:tcPr>
                  <w:tcW w:w="589" w:type="pct"/>
                  <w:noWrap/>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2</w:t>
                  </w:r>
                </w:p>
              </w:tc>
              <w:tc>
                <w:tcPr>
                  <w:tcW w:w="1648" w:type="pct"/>
                  <w:noWrap w:val="0"/>
                  <w:vAlign w:val="center"/>
                </w:tcPr>
                <w:p>
                  <w:pPr>
                    <w:widowControl/>
                    <w:jc w:val="center"/>
                    <w:rPr>
                      <w:kern w:val="0"/>
                      <w:szCs w:val="21"/>
                    </w:rPr>
                  </w:pPr>
                  <w:r>
                    <w:rPr>
                      <w:rFonts w:hint="eastAsia"/>
                      <w:kern w:val="0"/>
                      <w:szCs w:val="21"/>
                    </w:rPr>
                    <w:t>洒水车租赁及运行费用</w:t>
                  </w:r>
                </w:p>
              </w:tc>
              <w:tc>
                <w:tcPr>
                  <w:tcW w:w="682" w:type="pct"/>
                  <w:noWrap/>
                  <w:vAlign w:val="center"/>
                </w:tcPr>
                <w:p>
                  <w:pPr>
                    <w:widowControl/>
                    <w:jc w:val="center"/>
                    <w:rPr>
                      <w:kern w:val="0"/>
                      <w:szCs w:val="21"/>
                    </w:rPr>
                  </w:pPr>
                  <w:r>
                    <w:rPr>
                      <w:rFonts w:hint="eastAsia"/>
                      <w:kern w:val="0"/>
                      <w:szCs w:val="21"/>
                    </w:rPr>
                    <w:t>年</w:t>
                  </w:r>
                </w:p>
              </w:tc>
              <w:tc>
                <w:tcPr>
                  <w:tcW w:w="682" w:type="pct"/>
                  <w:noWrap/>
                  <w:vAlign w:val="center"/>
                </w:tcPr>
                <w:p>
                  <w:pPr>
                    <w:widowControl/>
                    <w:jc w:val="center"/>
                    <w:rPr>
                      <w:kern w:val="0"/>
                      <w:szCs w:val="21"/>
                    </w:rPr>
                  </w:pPr>
                  <w:r>
                    <w:rPr>
                      <w:kern w:val="0"/>
                      <w:szCs w:val="21"/>
                    </w:rPr>
                    <w:t>10000</w:t>
                  </w:r>
                </w:p>
              </w:tc>
              <w:tc>
                <w:tcPr>
                  <w:tcW w:w="589" w:type="pct"/>
                  <w:noWrap/>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　</w:t>
                  </w:r>
                </w:p>
              </w:tc>
              <w:tc>
                <w:tcPr>
                  <w:tcW w:w="3601" w:type="pct"/>
                  <w:gridSpan w:val="4"/>
                  <w:noWrap w:val="0"/>
                  <w:vAlign w:val="center"/>
                </w:tcPr>
                <w:p>
                  <w:pPr>
                    <w:widowControl/>
                    <w:jc w:val="center"/>
                    <w:rPr>
                      <w:kern w:val="0"/>
                      <w:szCs w:val="21"/>
                    </w:rPr>
                  </w:pPr>
                  <w:r>
                    <w:rPr>
                      <w:rFonts w:hint="eastAsia"/>
                      <w:kern w:val="0"/>
                      <w:szCs w:val="21"/>
                    </w:rPr>
                    <w:t>三、生态恢复措施</w:t>
                  </w:r>
                </w:p>
              </w:tc>
              <w:tc>
                <w:tcPr>
                  <w:tcW w:w="774" w:type="pct"/>
                  <w:noWrap w:val="0"/>
                  <w:vAlign w:val="center"/>
                </w:tcPr>
                <w:p>
                  <w:pPr>
                    <w:widowControl/>
                    <w:jc w:val="center"/>
                    <w:rPr>
                      <w:kern w:val="0"/>
                      <w:szCs w:val="21"/>
                    </w:rPr>
                  </w:pPr>
                  <w:r>
                    <w:rPr>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1</w:t>
                  </w:r>
                </w:p>
              </w:tc>
              <w:tc>
                <w:tcPr>
                  <w:tcW w:w="1648" w:type="pct"/>
                  <w:noWrap w:val="0"/>
                  <w:vAlign w:val="center"/>
                </w:tcPr>
                <w:p>
                  <w:pPr>
                    <w:widowControl/>
                    <w:jc w:val="center"/>
                    <w:rPr>
                      <w:kern w:val="0"/>
                      <w:szCs w:val="21"/>
                    </w:rPr>
                  </w:pPr>
                  <w:r>
                    <w:rPr>
                      <w:rFonts w:hint="eastAsia"/>
                      <w:kern w:val="0"/>
                      <w:szCs w:val="21"/>
                    </w:rPr>
                    <w:t>施工迹地、料场恢复</w:t>
                  </w:r>
                </w:p>
              </w:tc>
              <w:tc>
                <w:tcPr>
                  <w:tcW w:w="682" w:type="pct"/>
                  <w:noWrap w:val="0"/>
                  <w:vAlign w:val="center"/>
                </w:tcPr>
                <w:p>
                  <w:pPr>
                    <w:widowControl/>
                    <w:jc w:val="center"/>
                    <w:rPr>
                      <w:kern w:val="0"/>
                      <w:szCs w:val="21"/>
                    </w:rPr>
                  </w:pPr>
                  <w:r>
                    <w:rPr>
                      <w:kern w:val="0"/>
                      <w:szCs w:val="21"/>
                    </w:rPr>
                    <w:t>　</w:t>
                  </w:r>
                </w:p>
              </w:tc>
              <w:tc>
                <w:tcPr>
                  <w:tcW w:w="682" w:type="pct"/>
                  <w:noWrap/>
                  <w:vAlign w:val="center"/>
                </w:tcPr>
                <w:p>
                  <w:pPr>
                    <w:widowControl/>
                    <w:jc w:val="center"/>
                    <w:rPr>
                      <w:kern w:val="0"/>
                      <w:szCs w:val="21"/>
                    </w:rPr>
                  </w:pPr>
                  <w:r>
                    <w:rPr>
                      <w:rFonts w:hint="eastAsia"/>
                      <w:kern w:val="0"/>
                      <w:szCs w:val="21"/>
                    </w:rPr>
                    <w:t>列入水保</w:t>
                  </w:r>
                </w:p>
              </w:tc>
              <w:tc>
                <w:tcPr>
                  <w:tcW w:w="589" w:type="pct"/>
                  <w:noWrap/>
                  <w:vAlign w:val="center"/>
                </w:tcPr>
                <w:p>
                  <w:pPr>
                    <w:widowControl/>
                    <w:jc w:val="center"/>
                    <w:rPr>
                      <w:kern w:val="0"/>
                      <w:szCs w:val="21"/>
                    </w:rPr>
                  </w:pPr>
                  <w:r>
                    <w:rPr>
                      <w:rFonts w:hint="eastAsia"/>
                      <w:kern w:val="0"/>
                      <w:szCs w:val="21"/>
                    </w:rPr>
                    <w:t>列入水保</w:t>
                  </w:r>
                </w:p>
              </w:tc>
              <w:tc>
                <w:tcPr>
                  <w:tcW w:w="774" w:type="pct"/>
                  <w:noWrap w:val="0"/>
                  <w:vAlign w:val="center"/>
                </w:tcPr>
                <w:p>
                  <w:pPr>
                    <w:widowControl/>
                    <w:jc w:val="center"/>
                    <w:rPr>
                      <w:kern w:val="0"/>
                      <w:szCs w:val="21"/>
                    </w:rPr>
                  </w:pPr>
                  <w:r>
                    <w:rPr>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　</w:t>
                  </w:r>
                </w:p>
              </w:tc>
              <w:tc>
                <w:tcPr>
                  <w:tcW w:w="3601" w:type="pct"/>
                  <w:gridSpan w:val="4"/>
                  <w:noWrap w:val="0"/>
                  <w:vAlign w:val="center"/>
                </w:tcPr>
                <w:p>
                  <w:pPr>
                    <w:widowControl/>
                    <w:jc w:val="center"/>
                    <w:rPr>
                      <w:kern w:val="0"/>
                      <w:szCs w:val="21"/>
                    </w:rPr>
                  </w:pPr>
                  <w:r>
                    <w:rPr>
                      <w:rFonts w:hint="eastAsia"/>
                      <w:kern w:val="0"/>
                      <w:szCs w:val="21"/>
                    </w:rPr>
                    <w:t>四、噪声防治</w:t>
                  </w:r>
                </w:p>
              </w:tc>
              <w:tc>
                <w:tcPr>
                  <w:tcW w:w="774" w:type="pct"/>
                  <w:noWrap/>
                  <w:vAlign w:val="center"/>
                </w:tcPr>
                <w:p>
                  <w:pPr>
                    <w:widowControl/>
                    <w:jc w:val="center"/>
                    <w:rPr>
                      <w:kern w:val="0"/>
                      <w:szCs w:val="21"/>
                    </w:rPr>
                  </w:pPr>
                  <w:r>
                    <w:rPr>
                      <w:kern w:val="0"/>
                      <w:szCs w:val="21"/>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　</w:t>
                  </w:r>
                </w:p>
              </w:tc>
              <w:tc>
                <w:tcPr>
                  <w:tcW w:w="3601" w:type="pct"/>
                  <w:gridSpan w:val="4"/>
                  <w:noWrap w:val="0"/>
                  <w:vAlign w:val="center"/>
                </w:tcPr>
                <w:p>
                  <w:pPr>
                    <w:widowControl/>
                    <w:jc w:val="center"/>
                    <w:rPr>
                      <w:kern w:val="0"/>
                      <w:szCs w:val="21"/>
                    </w:rPr>
                  </w:pPr>
                  <w:r>
                    <w:rPr>
                      <w:rFonts w:hint="eastAsia"/>
                      <w:kern w:val="0"/>
                      <w:szCs w:val="21"/>
                    </w:rPr>
                    <w:t>五、固体废物处理</w:t>
                  </w:r>
                </w:p>
              </w:tc>
              <w:tc>
                <w:tcPr>
                  <w:tcW w:w="774" w:type="pct"/>
                  <w:noWrap/>
                  <w:vAlign w:val="center"/>
                </w:tcPr>
                <w:p>
                  <w:pPr>
                    <w:widowControl/>
                    <w:jc w:val="center"/>
                    <w:rPr>
                      <w:kern w:val="0"/>
                      <w:szCs w:val="21"/>
                    </w:rPr>
                  </w:pPr>
                  <w:r>
                    <w:rPr>
                      <w:kern w:val="0"/>
                      <w:szCs w:val="21"/>
                    </w:rPr>
                    <w:t xml:space="preserve">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1</w:t>
                  </w:r>
                </w:p>
              </w:tc>
              <w:tc>
                <w:tcPr>
                  <w:tcW w:w="1648" w:type="pct"/>
                  <w:noWrap w:val="0"/>
                  <w:vAlign w:val="center"/>
                </w:tcPr>
                <w:p>
                  <w:pPr>
                    <w:widowControl/>
                    <w:jc w:val="center"/>
                    <w:rPr>
                      <w:kern w:val="0"/>
                      <w:szCs w:val="21"/>
                    </w:rPr>
                  </w:pPr>
                  <w:r>
                    <w:rPr>
                      <w:rFonts w:hint="eastAsia"/>
                      <w:kern w:val="0"/>
                      <w:szCs w:val="21"/>
                    </w:rPr>
                    <w:t>垃圾箱</w:t>
                  </w:r>
                </w:p>
              </w:tc>
              <w:tc>
                <w:tcPr>
                  <w:tcW w:w="682" w:type="pct"/>
                  <w:noWrap/>
                  <w:vAlign w:val="center"/>
                </w:tcPr>
                <w:p>
                  <w:pPr>
                    <w:widowControl/>
                    <w:jc w:val="center"/>
                    <w:rPr>
                      <w:kern w:val="0"/>
                      <w:szCs w:val="21"/>
                    </w:rPr>
                  </w:pPr>
                  <w:r>
                    <w:rPr>
                      <w:rFonts w:hint="eastAsia"/>
                      <w:kern w:val="0"/>
                      <w:szCs w:val="21"/>
                    </w:rPr>
                    <w:t>个</w:t>
                  </w:r>
                </w:p>
              </w:tc>
              <w:tc>
                <w:tcPr>
                  <w:tcW w:w="682" w:type="pct"/>
                  <w:noWrap w:val="0"/>
                  <w:vAlign w:val="center"/>
                </w:tcPr>
                <w:p>
                  <w:pPr>
                    <w:widowControl/>
                    <w:jc w:val="center"/>
                    <w:rPr>
                      <w:kern w:val="0"/>
                      <w:szCs w:val="21"/>
                    </w:rPr>
                  </w:pPr>
                  <w:r>
                    <w:rPr>
                      <w:kern w:val="0"/>
                      <w:szCs w:val="21"/>
                    </w:rPr>
                    <w:t>2000</w:t>
                  </w:r>
                </w:p>
              </w:tc>
              <w:tc>
                <w:tcPr>
                  <w:tcW w:w="589" w:type="pct"/>
                  <w:noWrap w:val="0"/>
                  <w:vAlign w:val="center"/>
                </w:tcPr>
                <w:p>
                  <w:pPr>
                    <w:widowControl/>
                    <w:jc w:val="center"/>
                    <w:rPr>
                      <w:kern w:val="0"/>
                      <w:szCs w:val="21"/>
                    </w:rPr>
                  </w:pPr>
                  <w:r>
                    <w:rPr>
                      <w:kern w:val="0"/>
                      <w:szCs w:val="21"/>
                    </w:rPr>
                    <w:t>2</w:t>
                  </w:r>
                </w:p>
              </w:tc>
              <w:tc>
                <w:tcPr>
                  <w:tcW w:w="774" w:type="pct"/>
                  <w:noWrap w:val="0"/>
                  <w:vAlign w:val="center"/>
                </w:tcPr>
                <w:p>
                  <w:pPr>
                    <w:widowControl/>
                    <w:jc w:val="center"/>
                    <w:rPr>
                      <w:kern w:val="0"/>
                      <w:szCs w:val="21"/>
                    </w:rPr>
                  </w:pPr>
                  <w:r>
                    <w:rPr>
                      <w:kern w:val="0"/>
                      <w:szCs w:val="21"/>
                    </w:rPr>
                    <w:t xml:space="preserve">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2</w:t>
                  </w:r>
                </w:p>
              </w:tc>
              <w:tc>
                <w:tcPr>
                  <w:tcW w:w="1648" w:type="pct"/>
                  <w:noWrap w:val="0"/>
                  <w:vAlign w:val="center"/>
                </w:tcPr>
                <w:p>
                  <w:pPr>
                    <w:widowControl/>
                    <w:jc w:val="center"/>
                    <w:rPr>
                      <w:kern w:val="0"/>
                      <w:szCs w:val="21"/>
                    </w:rPr>
                  </w:pPr>
                  <w:r>
                    <w:rPr>
                      <w:rFonts w:hint="eastAsia"/>
                      <w:kern w:val="0"/>
                      <w:szCs w:val="21"/>
                    </w:rPr>
                    <w:t>垃圾清运费</w:t>
                  </w:r>
                </w:p>
              </w:tc>
              <w:tc>
                <w:tcPr>
                  <w:tcW w:w="682" w:type="pct"/>
                  <w:noWrap w:val="0"/>
                  <w:vAlign w:val="center"/>
                </w:tcPr>
                <w:p>
                  <w:pPr>
                    <w:widowControl/>
                    <w:jc w:val="center"/>
                    <w:rPr>
                      <w:kern w:val="0"/>
                      <w:szCs w:val="21"/>
                    </w:rPr>
                  </w:pPr>
                  <w:r>
                    <w:rPr>
                      <w:rFonts w:hint="eastAsia"/>
                      <w:kern w:val="0"/>
                      <w:szCs w:val="21"/>
                    </w:rPr>
                    <w:t>施工区</w:t>
                  </w:r>
                  <w:r>
                    <w:rPr>
                      <w:kern w:val="0"/>
                      <w:szCs w:val="21"/>
                    </w:rPr>
                    <w:t>*</w:t>
                  </w:r>
                  <w:r>
                    <w:rPr>
                      <w:rFonts w:hint="eastAsia"/>
                      <w:kern w:val="0"/>
                      <w:szCs w:val="21"/>
                    </w:rPr>
                    <w:t>年</w:t>
                  </w:r>
                </w:p>
              </w:tc>
              <w:tc>
                <w:tcPr>
                  <w:tcW w:w="682" w:type="pct"/>
                  <w:noWrap w:val="0"/>
                  <w:vAlign w:val="center"/>
                </w:tcPr>
                <w:p>
                  <w:pPr>
                    <w:widowControl/>
                    <w:jc w:val="center"/>
                    <w:rPr>
                      <w:kern w:val="0"/>
                      <w:szCs w:val="21"/>
                    </w:rPr>
                  </w:pPr>
                  <w:r>
                    <w:rPr>
                      <w:kern w:val="0"/>
                      <w:szCs w:val="21"/>
                    </w:rPr>
                    <w:t>2500</w:t>
                  </w:r>
                </w:p>
              </w:tc>
              <w:tc>
                <w:tcPr>
                  <w:tcW w:w="589" w:type="pct"/>
                  <w:noWrap w:val="0"/>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　</w:t>
                  </w:r>
                </w:p>
              </w:tc>
              <w:tc>
                <w:tcPr>
                  <w:tcW w:w="3601" w:type="pct"/>
                  <w:gridSpan w:val="4"/>
                  <w:noWrap w:val="0"/>
                  <w:vAlign w:val="center"/>
                </w:tcPr>
                <w:p>
                  <w:pPr>
                    <w:widowControl/>
                    <w:jc w:val="center"/>
                    <w:rPr>
                      <w:kern w:val="0"/>
                      <w:szCs w:val="21"/>
                    </w:rPr>
                  </w:pPr>
                  <w:r>
                    <w:rPr>
                      <w:rFonts w:hint="eastAsia"/>
                      <w:kern w:val="0"/>
                      <w:szCs w:val="21"/>
                    </w:rPr>
                    <w:t>六、人群健康保护</w:t>
                  </w:r>
                </w:p>
              </w:tc>
              <w:tc>
                <w:tcPr>
                  <w:tcW w:w="774" w:type="pct"/>
                  <w:noWrap/>
                  <w:vAlign w:val="center"/>
                </w:tcPr>
                <w:p>
                  <w:pPr>
                    <w:widowControl/>
                    <w:jc w:val="center"/>
                    <w:rPr>
                      <w:kern w:val="0"/>
                      <w:szCs w:val="21"/>
                    </w:rPr>
                  </w:pPr>
                  <w:r>
                    <w:rPr>
                      <w:kern w:val="0"/>
                      <w:szCs w:val="21"/>
                    </w:rPr>
                    <w:t xml:space="preserve">0.81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25" w:type="pct"/>
                  <w:noWrap w:val="0"/>
                  <w:vAlign w:val="center"/>
                </w:tcPr>
                <w:p>
                  <w:pPr>
                    <w:widowControl/>
                    <w:jc w:val="center"/>
                    <w:rPr>
                      <w:kern w:val="0"/>
                      <w:szCs w:val="21"/>
                    </w:rPr>
                  </w:pPr>
                  <w:r>
                    <w:rPr>
                      <w:kern w:val="0"/>
                      <w:szCs w:val="21"/>
                    </w:rPr>
                    <w:t>1</w:t>
                  </w:r>
                </w:p>
              </w:tc>
              <w:tc>
                <w:tcPr>
                  <w:tcW w:w="1648" w:type="pct"/>
                  <w:noWrap w:val="0"/>
                  <w:vAlign w:val="center"/>
                </w:tcPr>
                <w:p>
                  <w:pPr>
                    <w:widowControl/>
                    <w:jc w:val="center"/>
                    <w:rPr>
                      <w:kern w:val="0"/>
                      <w:szCs w:val="21"/>
                    </w:rPr>
                  </w:pPr>
                  <w:r>
                    <w:rPr>
                      <w:rFonts w:hint="eastAsia"/>
                      <w:kern w:val="0"/>
                      <w:szCs w:val="21"/>
                    </w:rPr>
                    <w:t>生活区清理、消毒</w:t>
                  </w:r>
                </w:p>
              </w:tc>
              <w:tc>
                <w:tcPr>
                  <w:tcW w:w="682" w:type="pct"/>
                  <w:noWrap w:val="0"/>
                  <w:vAlign w:val="center"/>
                </w:tcPr>
                <w:p>
                  <w:pPr>
                    <w:widowControl/>
                    <w:jc w:val="center"/>
                    <w:rPr>
                      <w:kern w:val="0"/>
                      <w:szCs w:val="21"/>
                    </w:rPr>
                  </w:pPr>
                  <w:r>
                    <w:rPr>
                      <w:kern w:val="0"/>
                      <w:szCs w:val="21"/>
                    </w:rPr>
                    <w:t>m</w:t>
                  </w:r>
                  <w:r>
                    <w:rPr>
                      <w:kern w:val="0"/>
                      <w:szCs w:val="21"/>
                      <w:vertAlign w:val="superscript"/>
                    </w:rPr>
                    <w:t>2</w:t>
                  </w:r>
                </w:p>
              </w:tc>
              <w:tc>
                <w:tcPr>
                  <w:tcW w:w="682" w:type="pct"/>
                  <w:noWrap w:val="0"/>
                  <w:vAlign w:val="center"/>
                </w:tcPr>
                <w:p>
                  <w:pPr>
                    <w:widowControl/>
                    <w:jc w:val="center"/>
                    <w:rPr>
                      <w:kern w:val="0"/>
                      <w:szCs w:val="21"/>
                    </w:rPr>
                  </w:pPr>
                  <w:r>
                    <w:rPr>
                      <w:kern w:val="0"/>
                      <w:szCs w:val="21"/>
                    </w:rPr>
                    <w:t>1</w:t>
                  </w:r>
                </w:p>
              </w:tc>
              <w:tc>
                <w:tcPr>
                  <w:tcW w:w="589" w:type="pct"/>
                  <w:noWrap w:val="0"/>
                  <w:vAlign w:val="center"/>
                </w:tcPr>
                <w:p>
                  <w:pPr>
                    <w:widowControl/>
                    <w:jc w:val="center"/>
                    <w:rPr>
                      <w:kern w:val="0"/>
                      <w:szCs w:val="21"/>
                    </w:rPr>
                  </w:pPr>
                  <w:r>
                    <w:rPr>
                      <w:kern w:val="0"/>
                      <w:szCs w:val="21"/>
                    </w:rPr>
                    <w:t>864</w:t>
                  </w:r>
                </w:p>
              </w:tc>
              <w:tc>
                <w:tcPr>
                  <w:tcW w:w="774" w:type="pct"/>
                  <w:noWrap w:val="0"/>
                  <w:vAlign w:val="center"/>
                </w:tcPr>
                <w:p>
                  <w:pPr>
                    <w:widowControl/>
                    <w:jc w:val="center"/>
                    <w:rPr>
                      <w:kern w:val="0"/>
                      <w:szCs w:val="21"/>
                    </w:rPr>
                  </w:pPr>
                  <w:r>
                    <w:rPr>
                      <w:kern w:val="0"/>
                      <w:szCs w:val="21"/>
                    </w:rPr>
                    <w:t xml:space="preserve">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2</w:t>
                  </w:r>
                </w:p>
              </w:tc>
              <w:tc>
                <w:tcPr>
                  <w:tcW w:w="1648" w:type="pct"/>
                  <w:noWrap w:val="0"/>
                  <w:vAlign w:val="center"/>
                </w:tcPr>
                <w:p>
                  <w:pPr>
                    <w:widowControl/>
                    <w:jc w:val="center"/>
                    <w:rPr>
                      <w:kern w:val="0"/>
                      <w:szCs w:val="21"/>
                    </w:rPr>
                  </w:pPr>
                  <w:r>
                    <w:rPr>
                      <w:rFonts w:hint="eastAsia"/>
                      <w:kern w:val="0"/>
                      <w:szCs w:val="21"/>
                    </w:rPr>
                    <w:t>卫生防疫</w:t>
                  </w:r>
                </w:p>
              </w:tc>
              <w:tc>
                <w:tcPr>
                  <w:tcW w:w="682" w:type="pct"/>
                  <w:noWrap w:val="0"/>
                  <w:vAlign w:val="center"/>
                </w:tcPr>
                <w:p>
                  <w:pPr>
                    <w:widowControl/>
                    <w:jc w:val="center"/>
                    <w:rPr>
                      <w:kern w:val="0"/>
                      <w:szCs w:val="21"/>
                    </w:rPr>
                  </w:pPr>
                  <w:r>
                    <w:rPr>
                      <w:rFonts w:hint="eastAsia"/>
                      <w:kern w:val="0"/>
                      <w:szCs w:val="21"/>
                    </w:rPr>
                    <w:t>人次</w:t>
                  </w:r>
                  <w:r>
                    <w:rPr>
                      <w:kern w:val="0"/>
                      <w:szCs w:val="21"/>
                    </w:rPr>
                    <w:t>/</w:t>
                  </w:r>
                  <w:r>
                    <w:rPr>
                      <w:rFonts w:hint="eastAsia"/>
                      <w:kern w:val="0"/>
                      <w:szCs w:val="21"/>
                    </w:rPr>
                    <w:t>年</w:t>
                  </w:r>
                </w:p>
              </w:tc>
              <w:tc>
                <w:tcPr>
                  <w:tcW w:w="682" w:type="pct"/>
                  <w:noWrap w:val="0"/>
                  <w:vAlign w:val="center"/>
                </w:tcPr>
                <w:p>
                  <w:pPr>
                    <w:widowControl/>
                    <w:jc w:val="center"/>
                    <w:rPr>
                      <w:kern w:val="0"/>
                      <w:szCs w:val="21"/>
                    </w:rPr>
                  </w:pPr>
                  <w:r>
                    <w:rPr>
                      <w:kern w:val="0"/>
                      <w:szCs w:val="21"/>
                    </w:rPr>
                    <w:t>200</w:t>
                  </w:r>
                </w:p>
              </w:tc>
              <w:tc>
                <w:tcPr>
                  <w:tcW w:w="589" w:type="pct"/>
                  <w:noWrap w:val="0"/>
                  <w:vAlign w:val="center"/>
                </w:tcPr>
                <w:p>
                  <w:pPr>
                    <w:widowControl/>
                    <w:jc w:val="center"/>
                    <w:rPr>
                      <w:kern w:val="0"/>
                      <w:szCs w:val="21"/>
                    </w:rPr>
                  </w:pPr>
                  <w:r>
                    <w:rPr>
                      <w:kern w:val="0"/>
                      <w:szCs w:val="21"/>
                    </w:rPr>
                    <w:t>36</w:t>
                  </w:r>
                </w:p>
              </w:tc>
              <w:tc>
                <w:tcPr>
                  <w:tcW w:w="774" w:type="pct"/>
                  <w:noWrap w:val="0"/>
                  <w:vAlign w:val="center"/>
                </w:tcPr>
                <w:p>
                  <w:pPr>
                    <w:widowControl/>
                    <w:jc w:val="center"/>
                    <w:rPr>
                      <w:kern w:val="0"/>
                      <w:szCs w:val="21"/>
                    </w:rPr>
                  </w:pPr>
                  <w:r>
                    <w:rPr>
                      <w:kern w:val="0"/>
                      <w:szCs w:val="21"/>
                    </w:rPr>
                    <w:t xml:space="preserve">0.72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26" w:type="pct"/>
                  <w:gridSpan w:val="5"/>
                  <w:noWrap w:val="0"/>
                  <w:vAlign w:val="center"/>
                </w:tcPr>
                <w:p>
                  <w:pPr>
                    <w:widowControl/>
                    <w:jc w:val="center"/>
                    <w:rPr>
                      <w:kern w:val="0"/>
                      <w:szCs w:val="21"/>
                    </w:rPr>
                  </w:pPr>
                  <w:r>
                    <w:rPr>
                      <w:rFonts w:hint="eastAsia"/>
                      <w:kern w:val="0"/>
                      <w:szCs w:val="21"/>
                    </w:rPr>
                    <w:t>第一～第四部分合计</w:t>
                  </w:r>
                </w:p>
              </w:tc>
              <w:tc>
                <w:tcPr>
                  <w:tcW w:w="774" w:type="pct"/>
                  <w:noWrap w:val="0"/>
                  <w:vAlign w:val="center"/>
                </w:tcPr>
                <w:p>
                  <w:pPr>
                    <w:widowControl/>
                    <w:jc w:val="center"/>
                    <w:rPr>
                      <w:kern w:val="0"/>
                      <w:szCs w:val="21"/>
                    </w:rPr>
                  </w:pPr>
                  <w:r>
                    <w:rPr>
                      <w:kern w:val="0"/>
                      <w:szCs w:val="21"/>
                    </w:rPr>
                    <w:t xml:space="preserve">20.63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26" w:type="pct"/>
                  <w:gridSpan w:val="5"/>
                  <w:noWrap w:val="0"/>
                  <w:vAlign w:val="center"/>
                </w:tcPr>
                <w:p>
                  <w:pPr>
                    <w:widowControl/>
                    <w:jc w:val="center"/>
                    <w:rPr>
                      <w:kern w:val="0"/>
                      <w:szCs w:val="21"/>
                    </w:rPr>
                  </w:pPr>
                  <w:r>
                    <w:rPr>
                      <w:rFonts w:hint="eastAsia"/>
                      <w:kern w:val="0"/>
                      <w:szCs w:val="21"/>
                    </w:rPr>
                    <w:t>第五部分环境保护独立费用</w:t>
                  </w:r>
                </w:p>
              </w:tc>
              <w:tc>
                <w:tcPr>
                  <w:tcW w:w="774" w:type="pct"/>
                  <w:noWrap/>
                  <w:vAlign w:val="center"/>
                </w:tcPr>
                <w:p>
                  <w:pPr>
                    <w:widowControl/>
                    <w:jc w:val="center"/>
                    <w:rPr>
                      <w:kern w:val="0"/>
                      <w:szCs w:val="21"/>
                    </w:rPr>
                  </w:pPr>
                  <w:r>
                    <w:rPr>
                      <w:kern w:val="0"/>
                      <w:szCs w:val="21"/>
                    </w:rPr>
                    <w:t xml:space="preserve">26.65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　</w:t>
                  </w:r>
                </w:p>
              </w:tc>
              <w:tc>
                <w:tcPr>
                  <w:tcW w:w="3601" w:type="pct"/>
                  <w:gridSpan w:val="4"/>
                  <w:noWrap w:val="0"/>
                  <w:vAlign w:val="center"/>
                </w:tcPr>
                <w:p>
                  <w:pPr>
                    <w:widowControl/>
                    <w:jc w:val="center"/>
                    <w:rPr>
                      <w:kern w:val="0"/>
                      <w:szCs w:val="21"/>
                    </w:rPr>
                  </w:pPr>
                  <w:r>
                    <w:rPr>
                      <w:rFonts w:hint="eastAsia"/>
                      <w:kern w:val="0"/>
                      <w:szCs w:val="21"/>
                    </w:rPr>
                    <w:t>一、建设管理费</w:t>
                  </w:r>
                </w:p>
              </w:tc>
              <w:tc>
                <w:tcPr>
                  <w:tcW w:w="774" w:type="pct"/>
                  <w:noWrap w:val="0"/>
                  <w:vAlign w:val="center"/>
                </w:tcPr>
                <w:p>
                  <w:pPr>
                    <w:widowControl/>
                    <w:jc w:val="center"/>
                    <w:rPr>
                      <w:kern w:val="0"/>
                      <w:szCs w:val="21"/>
                    </w:rPr>
                  </w:pPr>
                  <w:r>
                    <w:rPr>
                      <w:kern w:val="0"/>
                      <w:szCs w:val="21"/>
                    </w:rPr>
                    <w:t xml:space="preserve">8.44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1</w:t>
                  </w:r>
                </w:p>
              </w:tc>
              <w:tc>
                <w:tcPr>
                  <w:tcW w:w="1648" w:type="pct"/>
                  <w:noWrap w:val="0"/>
                  <w:vAlign w:val="center"/>
                </w:tcPr>
                <w:p>
                  <w:pPr>
                    <w:widowControl/>
                    <w:jc w:val="center"/>
                    <w:rPr>
                      <w:kern w:val="0"/>
                      <w:szCs w:val="21"/>
                    </w:rPr>
                  </w:pPr>
                  <w:r>
                    <w:rPr>
                      <w:rFonts w:hint="eastAsia"/>
                      <w:kern w:val="0"/>
                      <w:szCs w:val="21"/>
                    </w:rPr>
                    <w:t>管理人员经常费</w:t>
                  </w:r>
                </w:p>
              </w:tc>
              <w:tc>
                <w:tcPr>
                  <w:tcW w:w="682" w:type="pct"/>
                  <w:noWrap w:val="0"/>
                  <w:vAlign w:val="center"/>
                </w:tcPr>
                <w:p>
                  <w:pPr>
                    <w:widowControl/>
                    <w:jc w:val="center"/>
                    <w:rPr>
                      <w:kern w:val="0"/>
                      <w:szCs w:val="21"/>
                    </w:rPr>
                  </w:pPr>
                  <w:r>
                    <w:rPr>
                      <w:kern w:val="0"/>
                      <w:szCs w:val="21"/>
                    </w:rPr>
                    <w:t>　</w:t>
                  </w:r>
                </w:p>
              </w:tc>
              <w:tc>
                <w:tcPr>
                  <w:tcW w:w="682" w:type="pct"/>
                  <w:noWrap w:val="0"/>
                  <w:vAlign w:val="center"/>
                </w:tcPr>
                <w:p>
                  <w:pPr>
                    <w:widowControl/>
                    <w:jc w:val="center"/>
                    <w:rPr>
                      <w:kern w:val="0"/>
                      <w:szCs w:val="21"/>
                    </w:rPr>
                  </w:pPr>
                  <w:r>
                    <w:rPr>
                      <w:kern w:val="0"/>
                      <w:szCs w:val="21"/>
                    </w:rPr>
                    <w:t>206329</w:t>
                  </w:r>
                </w:p>
              </w:tc>
              <w:tc>
                <w:tcPr>
                  <w:tcW w:w="589" w:type="pct"/>
                  <w:noWrap w:val="0"/>
                  <w:vAlign w:val="center"/>
                </w:tcPr>
                <w:p>
                  <w:pPr>
                    <w:widowControl/>
                    <w:jc w:val="center"/>
                    <w:rPr>
                      <w:kern w:val="0"/>
                      <w:szCs w:val="21"/>
                    </w:rPr>
                  </w:pPr>
                  <w:r>
                    <w:rPr>
                      <w:kern w:val="0"/>
                      <w:szCs w:val="21"/>
                    </w:rPr>
                    <w:t>4%</w:t>
                  </w:r>
                </w:p>
              </w:tc>
              <w:tc>
                <w:tcPr>
                  <w:tcW w:w="774" w:type="pct"/>
                  <w:noWrap w:val="0"/>
                  <w:vAlign w:val="center"/>
                </w:tcPr>
                <w:p>
                  <w:pPr>
                    <w:widowControl/>
                    <w:jc w:val="center"/>
                    <w:rPr>
                      <w:kern w:val="0"/>
                      <w:szCs w:val="21"/>
                    </w:rPr>
                  </w:pPr>
                  <w:r>
                    <w:rPr>
                      <w:kern w:val="0"/>
                      <w:szCs w:val="21"/>
                    </w:rPr>
                    <w:t xml:space="preserve">0.83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2</w:t>
                  </w:r>
                </w:p>
              </w:tc>
              <w:tc>
                <w:tcPr>
                  <w:tcW w:w="1648" w:type="pct"/>
                  <w:noWrap w:val="0"/>
                  <w:vAlign w:val="center"/>
                </w:tcPr>
                <w:p>
                  <w:pPr>
                    <w:widowControl/>
                    <w:jc w:val="center"/>
                    <w:rPr>
                      <w:kern w:val="0"/>
                      <w:szCs w:val="21"/>
                    </w:rPr>
                  </w:pPr>
                  <w:r>
                    <w:rPr>
                      <w:rFonts w:hint="eastAsia"/>
                      <w:kern w:val="0"/>
                      <w:szCs w:val="21"/>
                    </w:rPr>
                    <w:t>环境保护设施竣工验收费</w:t>
                  </w:r>
                </w:p>
              </w:tc>
              <w:tc>
                <w:tcPr>
                  <w:tcW w:w="682" w:type="pct"/>
                  <w:noWrap w:val="0"/>
                  <w:vAlign w:val="center"/>
                </w:tcPr>
                <w:p>
                  <w:pPr>
                    <w:widowControl/>
                    <w:jc w:val="center"/>
                    <w:rPr>
                      <w:kern w:val="0"/>
                      <w:szCs w:val="21"/>
                    </w:rPr>
                  </w:pPr>
                  <w:r>
                    <w:rPr>
                      <w:kern w:val="0"/>
                      <w:szCs w:val="21"/>
                    </w:rPr>
                    <w:t>　</w:t>
                  </w:r>
                </w:p>
              </w:tc>
              <w:tc>
                <w:tcPr>
                  <w:tcW w:w="682" w:type="pct"/>
                  <w:noWrap w:val="0"/>
                  <w:vAlign w:val="center"/>
                </w:tcPr>
                <w:p>
                  <w:pPr>
                    <w:widowControl/>
                    <w:jc w:val="center"/>
                    <w:rPr>
                      <w:kern w:val="0"/>
                      <w:szCs w:val="21"/>
                    </w:rPr>
                  </w:pPr>
                  <w:r>
                    <w:rPr>
                      <w:kern w:val="0"/>
                      <w:szCs w:val="21"/>
                    </w:rPr>
                    <w:t>　</w:t>
                  </w:r>
                </w:p>
              </w:tc>
              <w:tc>
                <w:tcPr>
                  <w:tcW w:w="589" w:type="pct"/>
                  <w:noWrap/>
                  <w:vAlign w:val="center"/>
                </w:tcPr>
                <w:p>
                  <w:pPr>
                    <w:widowControl/>
                    <w:jc w:val="center"/>
                    <w:rPr>
                      <w:kern w:val="0"/>
                      <w:szCs w:val="21"/>
                    </w:rPr>
                  </w:pPr>
                  <w:r>
                    <w:rPr>
                      <w:kern w:val="0"/>
                      <w:szCs w:val="21"/>
                    </w:rPr>
                    <w:t>　</w:t>
                  </w:r>
                </w:p>
              </w:tc>
              <w:tc>
                <w:tcPr>
                  <w:tcW w:w="774" w:type="pct"/>
                  <w:noWrap w:val="0"/>
                  <w:vAlign w:val="center"/>
                </w:tcPr>
                <w:p>
                  <w:pPr>
                    <w:widowControl/>
                    <w:jc w:val="center"/>
                    <w:rPr>
                      <w:kern w:val="0"/>
                      <w:szCs w:val="21"/>
                    </w:rPr>
                  </w:pPr>
                  <w:r>
                    <w:rPr>
                      <w:kern w:val="0"/>
                      <w:szCs w:val="21"/>
                    </w:rPr>
                    <w:t xml:space="preserve">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3</w:t>
                  </w:r>
                </w:p>
              </w:tc>
              <w:tc>
                <w:tcPr>
                  <w:tcW w:w="1648" w:type="pct"/>
                  <w:noWrap w:val="0"/>
                  <w:vAlign w:val="center"/>
                </w:tcPr>
                <w:p>
                  <w:pPr>
                    <w:widowControl/>
                    <w:jc w:val="center"/>
                    <w:rPr>
                      <w:kern w:val="0"/>
                      <w:szCs w:val="21"/>
                    </w:rPr>
                  </w:pPr>
                  <w:r>
                    <w:rPr>
                      <w:rFonts w:hint="eastAsia"/>
                      <w:kern w:val="0"/>
                      <w:szCs w:val="21"/>
                    </w:rPr>
                    <w:t>宣传教育费及技术培训费</w:t>
                  </w:r>
                </w:p>
              </w:tc>
              <w:tc>
                <w:tcPr>
                  <w:tcW w:w="682" w:type="pct"/>
                  <w:noWrap w:val="0"/>
                  <w:vAlign w:val="center"/>
                </w:tcPr>
                <w:p>
                  <w:pPr>
                    <w:widowControl/>
                    <w:jc w:val="center"/>
                    <w:rPr>
                      <w:kern w:val="0"/>
                      <w:szCs w:val="21"/>
                    </w:rPr>
                  </w:pPr>
                  <w:r>
                    <w:rPr>
                      <w:kern w:val="0"/>
                      <w:szCs w:val="21"/>
                    </w:rPr>
                    <w:t>　</w:t>
                  </w:r>
                </w:p>
              </w:tc>
              <w:tc>
                <w:tcPr>
                  <w:tcW w:w="682" w:type="pct"/>
                  <w:noWrap w:val="0"/>
                  <w:vAlign w:val="center"/>
                </w:tcPr>
                <w:p>
                  <w:pPr>
                    <w:widowControl/>
                    <w:jc w:val="center"/>
                    <w:rPr>
                      <w:kern w:val="0"/>
                      <w:szCs w:val="21"/>
                    </w:rPr>
                  </w:pPr>
                  <w:r>
                    <w:rPr>
                      <w:kern w:val="0"/>
                      <w:szCs w:val="21"/>
                    </w:rPr>
                    <w:t>206329</w:t>
                  </w:r>
                </w:p>
              </w:tc>
              <w:tc>
                <w:tcPr>
                  <w:tcW w:w="589" w:type="pct"/>
                  <w:noWrap w:val="0"/>
                  <w:vAlign w:val="center"/>
                </w:tcPr>
                <w:p>
                  <w:pPr>
                    <w:widowControl/>
                    <w:jc w:val="center"/>
                    <w:rPr>
                      <w:kern w:val="0"/>
                      <w:szCs w:val="21"/>
                    </w:rPr>
                  </w:pPr>
                  <w:r>
                    <w:rPr>
                      <w:kern w:val="0"/>
                      <w:szCs w:val="21"/>
                    </w:rPr>
                    <w:t>3%</w:t>
                  </w:r>
                </w:p>
              </w:tc>
              <w:tc>
                <w:tcPr>
                  <w:tcW w:w="774" w:type="pct"/>
                  <w:noWrap w:val="0"/>
                  <w:vAlign w:val="center"/>
                </w:tcPr>
                <w:p>
                  <w:pPr>
                    <w:widowControl/>
                    <w:jc w:val="center"/>
                    <w:rPr>
                      <w:kern w:val="0"/>
                      <w:szCs w:val="21"/>
                    </w:rPr>
                  </w:pPr>
                  <w:r>
                    <w:rPr>
                      <w:kern w:val="0"/>
                      <w:szCs w:val="21"/>
                    </w:rPr>
                    <w:t xml:space="preserve">0.62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　</w:t>
                  </w:r>
                </w:p>
              </w:tc>
              <w:tc>
                <w:tcPr>
                  <w:tcW w:w="1648" w:type="pct"/>
                  <w:noWrap w:val="0"/>
                  <w:vAlign w:val="center"/>
                </w:tcPr>
                <w:p>
                  <w:pPr>
                    <w:widowControl/>
                    <w:jc w:val="center"/>
                    <w:rPr>
                      <w:kern w:val="0"/>
                      <w:szCs w:val="21"/>
                    </w:rPr>
                  </w:pPr>
                  <w:r>
                    <w:rPr>
                      <w:rFonts w:hint="eastAsia"/>
                      <w:kern w:val="0"/>
                      <w:szCs w:val="21"/>
                    </w:rPr>
                    <w:t>二、环境监理费</w:t>
                  </w:r>
                </w:p>
              </w:tc>
              <w:tc>
                <w:tcPr>
                  <w:tcW w:w="682" w:type="pct"/>
                  <w:noWrap w:val="0"/>
                  <w:vAlign w:val="center"/>
                </w:tcPr>
                <w:p>
                  <w:pPr>
                    <w:widowControl/>
                    <w:jc w:val="center"/>
                    <w:rPr>
                      <w:kern w:val="0"/>
                      <w:szCs w:val="21"/>
                    </w:rPr>
                  </w:pPr>
                  <w:r>
                    <w:rPr>
                      <w:rFonts w:hint="eastAsia"/>
                      <w:kern w:val="0"/>
                      <w:szCs w:val="21"/>
                    </w:rPr>
                    <w:t>元</w:t>
                  </w:r>
                  <w:r>
                    <w:rPr>
                      <w:kern w:val="0"/>
                      <w:szCs w:val="21"/>
                    </w:rPr>
                    <w:t>/</w:t>
                  </w:r>
                  <w:r>
                    <w:rPr>
                      <w:rFonts w:hint="eastAsia"/>
                      <w:kern w:val="0"/>
                      <w:szCs w:val="21"/>
                    </w:rPr>
                    <w:t>人</w:t>
                  </w:r>
                  <w:r>
                    <w:rPr>
                      <w:kern w:val="0"/>
                      <w:szCs w:val="21"/>
                    </w:rPr>
                    <w:t>·</w:t>
                  </w:r>
                  <w:r>
                    <w:rPr>
                      <w:rFonts w:hint="eastAsia"/>
                      <w:kern w:val="0"/>
                      <w:szCs w:val="21"/>
                    </w:rPr>
                    <w:t>年</w:t>
                  </w:r>
                </w:p>
              </w:tc>
              <w:tc>
                <w:tcPr>
                  <w:tcW w:w="682" w:type="pct"/>
                  <w:noWrap w:val="0"/>
                  <w:vAlign w:val="center"/>
                </w:tcPr>
                <w:p>
                  <w:pPr>
                    <w:widowControl/>
                    <w:jc w:val="center"/>
                    <w:rPr>
                      <w:kern w:val="0"/>
                      <w:szCs w:val="21"/>
                    </w:rPr>
                  </w:pPr>
                  <w:r>
                    <w:rPr>
                      <w:kern w:val="0"/>
                      <w:szCs w:val="21"/>
                    </w:rPr>
                    <w:t>50000</w:t>
                  </w:r>
                </w:p>
              </w:tc>
              <w:tc>
                <w:tcPr>
                  <w:tcW w:w="589" w:type="pct"/>
                  <w:noWrap w:val="0"/>
                  <w:vAlign w:val="center"/>
                </w:tcPr>
                <w:p>
                  <w:pPr>
                    <w:widowControl/>
                    <w:jc w:val="center"/>
                    <w:rPr>
                      <w:kern w:val="0"/>
                      <w:szCs w:val="21"/>
                    </w:rPr>
                  </w:pPr>
                  <w:r>
                    <w:rPr>
                      <w:kern w:val="0"/>
                      <w:szCs w:val="21"/>
                    </w:rPr>
                    <w:t>1</w:t>
                  </w:r>
                </w:p>
              </w:tc>
              <w:tc>
                <w:tcPr>
                  <w:tcW w:w="774" w:type="pct"/>
                  <w:noWrap w:val="0"/>
                  <w:vAlign w:val="center"/>
                </w:tcPr>
                <w:p>
                  <w:pPr>
                    <w:widowControl/>
                    <w:jc w:val="center"/>
                    <w:rPr>
                      <w:kern w:val="0"/>
                      <w:szCs w:val="21"/>
                    </w:rPr>
                  </w:pPr>
                  <w:r>
                    <w:rPr>
                      <w:kern w:val="0"/>
                      <w:szCs w:val="21"/>
                    </w:rPr>
                    <w:t xml:space="preserve">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　</w:t>
                  </w:r>
                </w:p>
              </w:tc>
              <w:tc>
                <w:tcPr>
                  <w:tcW w:w="1648" w:type="pct"/>
                  <w:noWrap w:val="0"/>
                  <w:vAlign w:val="center"/>
                </w:tcPr>
                <w:p>
                  <w:pPr>
                    <w:widowControl/>
                    <w:jc w:val="center"/>
                    <w:rPr>
                      <w:kern w:val="0"/>
                      <w:szCs w:val="21"/>
                    </w:rPr>
                  </w:pPr>
                  <w:r>
                    <w:rPr>
                      <w:rFonts w:hint="eastAsia"/>
                      <w:kern w:val="0"/>
                      <w:szCs w:val="21"/>
                    </w:rPr>
                    <w:t>三、科研勘测设计咨询费</w:t>
                  </w:r>
                </w:p>
              </w:tc>
              <w:tc>
                <w:tcPr>
                  <w:tcW w:w="682" w:type="pct"/>
                  <w:noWrap w:val="0"/>
                  <w:vAlign w:val="center"/>
                </w:tcPr>
                <w:p>
                  <w:pPr>
                    <w:widowControl/>
                    <w:jc w:val="center"/>
                    <w:rPr>
                      <w:kern w:val="0"/>
                      <w:szCs w:val="21"/>
                    </w:rPr>
                  </w:pPr>
                  <w:r>
                    <w:rPr>
                      <w:kern w:val="0"/>
                      <w:szCs w:val="21"/>
                    </w:rPr>
                    <w:t>　</w:t>
                  </w:r>
                </w:p>
              </w:tc>
              <w:tc>
                <w:tcPr>
                  <w:tcW w:w="682" w:type="pct"/>
                  <w:noWrap w:val="0"/>
                  <w:vAlign w:val="center"/>
                </w:tcPr>
                <w:p>
                  <w:pPr>
                    <w:widowControl/>
                    <w:jc w:val="center"/>
                    <w:rPr>
                      <w:kern w:val="0"/>
                      <w:szCs w:val="21"/>
                    </w:rPr>
                  </w:pPr>
                  <w:r>
                    <w:rPr>
                      <w:kern w:val="0"/>
                      <w:szCs w:val="21"/>
                    </w:rPr>
                    <w:t>　</w:t>
                  </w:r>
                </w:p>
              </w:tc>
              <w:tc>
                <w:tcPr>
                  <w:tcW w:w="589" w:type="pct"/>
                  <w:noWrap w:val="0"/>
                  <w:vAlign w:val="center"/>
                </w:tcPr>
                <w:p>
                  <w:pPr>
                    <w:widowControl/>
                    <w:jc w:val="center"/>
                    <w:rPr>
                      <w:kern w:val="0"/>
                      <w:szCs w:val="21"/>
                    </w:rPr>
                  </w:pPr>
                  <w:r>
                    <w:rPr>
                      <w:kern w:val="0"/>
                      <w:szCs w:val="21"/>
                    </w:rPr>
                    <w:t>　</w:t>
                  </w:r>
                </w:p>
              </w:tc>
              <w:tc>
                <w:tcPr>
                  <w:tcW w:w="774" w:type="pct"/>
                  <w:noWrap w:val="0"/>
                  <w:vAlign w:val="center"/>
                </w:tcPr>
                <w:p>
                  <w:pPr>
                    <w:widowControl/>
                    <w:jc w:val="center"/>
                    <w:rPr>
                      <w:kern w:val="0"/>
                      <w:szCs w:val="21"/>
                    </w:rPr>
                  </w:pPr>
                  <w:r>
                    <w:rPr>
                      <w:kern w:val="0"/>
                      <w:szCs w:val="21"/>
                    </w:rPr>
                    <w:t xml:space="preserve">13.21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1</w:t>
                  </w:r>
                </w:p>
              </w:tc>
              <w:tc>
                <w:tcPr>
                  <w:tcW w:w="1648" w:type="pct"/>
                  <w:noWrap w:val="0"/>
                  <w:vAlign w:val="center"/>
                </w:tcPr>
                <w:p>
                  <w:pPr>
                    <w:widowControl/>
                    <w:jc w:val="center"/>
                    <w:rPr>
                      <w:kern w:val="0"/>
                      <w:szCs w:val="21"/>
                    </w:rPr>
                  </w:pPr>
                  <w:r>
                    <w:rPr>
                      <w:rFonts w:hint="eastAsia"/>
                      <w:kern w:val="0"/>
                      <w:szCs w:val="21"/>
                    </w:rPr>
                    <w:t>环境影响评价费</w:t>
                  </w:r>
                </w:p>
              </w:tc>
              <w:tc>
                <w:tcPr>
                  <w:tcW w:w="682" w:type="pct"/>
                  <w:noWrap w:val="0"/>
                  <w:vAlign w:val="center"/>
                </w:tcPr>
                <w:p>
                  <w:pPr>
                    <w:widowControl/>
                    <w:jc w:val="center"/>
                    <w:rPr>
                      <w:kern w:val="0"/>
                      <w:szCs w:val="21"/>
                    </w:rPr>
                  </w:pPr>
                  <w:r>
                    <w:rPr>
                      <w:kern w:val="0"/>
                      <w:szCs w:val="21"/>
                    </w:rPr>
                    <w:t>　</w:t>
                  </w:r>
                </w:p>
              </w:tc>
              <w:tc>
                <w:tcPr>
                  <w:tcW w:w="682" w:type="pct"/>
                  <w:noWrap w:val="0"/>
                  <w:vAlign w:val="center"/>
                </w:tcPr>
                <w:p>
                  <w:pPr>
                    <w:widowControl/>
                    <w:jc w:val="center"/>
                    <w:rPr>
                      <w:kern w:val="0"/>
                      <w:szCs w:val="21"/>
                    </w:rPr>
                  </w:pPr>
                  <w:r>
                    <w:rPr>
                      <w:kern w:val="0"/>
                      <w:szCs w:val="21"/>
                    </w:rPr>
                    <w:t>　</w:t>
                  </w:r>
                </w:p>
              </w:tc>
              <w:tc>
                <w:tcPr>
                  <w:tcW w:w="589" w:type="pct"/>
                  <w:noWrap w:val="0"/>
                  <w:vAlign w:val="center"/>
                </w:tcPr>
                <w:p>
                  <w:pPr>
                    <w:widowControl/>
                    <w:jc w:val="center"/>
                    <w:rPr>
                      <w:kern w:val="0"/>
                      <w:szCs w:val="21"/>
                    </w:rPr>
                  </w:pPr>
                  <w:r>
                    <w:rPr>
                      <w:kern w:val="0"/>
                      <w:szCs w:val="21"/>
                    </w:rPr>
                    <w:t>　</w:t>
                  </w:r>
                </w:p>
              </w:tc>
              <w:tc>
                <w:tcPr>
                  <w:tcW w:w="774" w:type="pct"/>
                  <w:noWrap w:val="0"/>
                  <w:vAlign w:val="center"/>
                </w:tcPr>
                <w:p>
                  <w:pPr>
                    <w:widowControl/>
                    <w:jc w:val="center"/>
                    <w:rPr>
                      <w:kern w:val="0"/>
                      <w:szCs w:val="21"/>
                    </w:rPr>
                  </w:pPr>
                  <w:r>
                    <w:rPr>
                      <w:kern w:val="0"/>
                      <w:szCs w:val="21"/>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kern w:val="0"/>
                      <w:szCs w:val="21"/>
                    </w:rPr>
                    <w:t>2</w:t>
                  </w:r>
                </w:p>
              </w:tc>
              <w:tc>
                <w:tcPr>
                  <w:tcW w:w="1648" w:type="pct"/>
                  <w:noWrap w:val="0"/>
                  <w:vAlign w:val="center"/>
                </w:tcPr>
                <w:p>
                  <w:pPr>
                    <w:widowControl/>
                    <w:jc w:val="center"/>
                    <w:rPr>
                      <w:kern w:val="0"/>
                      <w:szCs w:val="21"/>
                    </w:rPr>
                  </w:pPr>
                  <w:r>
                    <w:rPr>
                      <w:rFonts w:hint="eastAsia"/>
                      <w:kern w:val="0"/>
                      <w:szCs w:val="21"/>
                    </w:rPr>
                    <w:t>环境保护勘测设计费</w:t>
                  </w:r>
                </w:p>
              </w:tc>
              <w:tc>
                <w:tcPr>
                  <w:tcW w:w="1952" w:type="pct"/>
                  <w:gridSpan w:val="3"/>
                  <w:noWrap w:val="0"/>
                  <w:vAlign w:val="center"/>
                </w:tcPr>
                <w:p>
                  <w:pPr>
                    <w:widowControl/>
                    <w:jc w:val="center"/>
                    <w:rPr>
                      <w:kern w:val="0"/>
                      <w:szCs w:val="21"/>
                    </w:rPr>
                  </w:pPr>
                  <w:r>
                    <w:rPr>
                      <w:rFonts w:hint="eastAsia"/>
                      <w:kern w:val="0"/>
                      <w:szCs w:val="21"/>
                    </w:rPr>
                    <w:t>按计价格〔</w:t>
                  </w:r>
                  <w:r>
                    <w:rPr>
                      <w:kern w:val="0"/>
                      <w:szCs w:val="21"/>
                    </w:rPr>
                    <w:t>2002</w:t>
                  </w:r>
                  <w:r>
                    <w:rPr>
                      <w:rFonts w:hint="eastAsia"/>
                      <w:kern w:val="0"/>
                      <w:szCs w:val="21"/>
                    </w:rPr>
                    <w:t>〕</w:t>
                  </w:r>
                  <w:r>
                    <w:rPr>
                      <w:kern w:val="0"/>
                      <w:szCs w:val="21"/>
                    </w:rPr>
                    <w:t>10</w:t>
                  </w:r>
                  <w:r>
                    <w:rPr>
                      <w:rFonts w:hint="eastAsia"/>
                      <w:kern w:val="0"/>
                      <w:szCs w:val="21"/>
                    </w:rPr>
                    <w:t>号计列</w:t>
                  </w:r>
                </w:p>
              </w:tc>
              <w:tc>
                <w:tcPr>
                  <w:tcW w:w="774" w:type="pct"/>
                  <w:noWrap w:val="0"/>
                  <w:vAlign w:val="center"/>
                </w:tcPr>
                <w:p>
                  <w:pPr>
                    <w:widowControl/>
                    <w:jc w:val="center"/>
                    <w:rPr>
                      <w:kern w:val="0"/>
                      <w:szCs w:val="21"/>
                    </w:rPr>
                  </w:pPr>
                  <w:r>
                    <w:rPr>
                      <w:kern w:val="0"/>
                      <w:szCs w:val="21"/>
                    </w:rPr>
                    <w:t xml:space="preserve">3.21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637" w:type="pct"/>
                  <w:gridSpan w:val="4"/>
                  <w:noWrap w:val="0"/>
                  <w:vAlign w:val="center"/>
                </w:tcPr>
                <w:p>
                  <w:pPr>
                    <w:widowControl/>
                    <w:jc w:val="center"/>
                    <w:rPr>
                      <w:kern w:val="0"/>
                      <w:szCs w:val="21"/>
                    </w:rPr>
                  </w:pPr>
                  <w:r>
                    <w:rPr>
                      <w:rFonts w:hint="eastAsia"/>
                      <w:kern w:val="0"/>
                      <w:szCs w:val="21"/>
                    </w:rPr>
                    <w:t>第一至第五部分合计</w:t>
                  </w:r>
                </w:p>
              </w:tc>
              <w:tc>
                <w:tcPr>
                  <w:tcW w:w="589" w:type="pct"/>
                  <w:noWrap w:val="0"/>
                  <w:vAlign w:val="center"/>
                </w:tcPr>
                <w:p>
                  <w:pPr>
                    <w:widowControl/>
                    <w:jc w:val="center"/>
                    <w:rPr>
                      <w:kern w:val="0"/>
                      <w:szCs w:val="21"/>
                    </w:rPr>
                  </w:pPr>
                  <w:r>
                    <w:rPr>
                      <w:kern w:val="0"/>
                      <w:szCs w:val="21"/>
                    </w:rPr>
                    <w:t>　</w:t>
                  </w:r>
                </w:p>
              </w:tc>
              <w:tc>
                <w:tcPr>
                  <w:tcW w:w="774" w:type="pct"/>
                  <w:noWrap w:val="0"/>
                  <w:vAlign w:val="center"/>
                </w:tcPr>
                <w:p>
                  <w:pPr>
                    <w:widowControl/>
                    <w:jc w:val="center"/>
                    <w:rPr>
                      <w:kern w:val="0"/>
                      <w:szCs w:val="21"/>
                    </w:rPr>
                  </w:pPr>
                  <w:r>
                    <w:rPr>
                      <w:kern w:val="0"/>
                      <w:szCs w:val="21"/>
                    </w:rPr>
                    <w:t xml:space="preserve">47.29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25" w:type="pct"/>
                  <w:noWrap w:val="0"/>
                  <w:vAlign w:val="center"/>
                </w:tcPr>
                <w:p>
                  <w:pPr>
                    <w:widowControl/>
                    <w:jc w:val="center"/>
                    <w:rPr>
                      <w:kern w:val="0"/>
                      <w:szCs w:val="21"/>
                    </w:rPr>
                  </w:pPr>
                  <w:r>
                    <w:rPr>
                      <w:rFonts w:hint="eastAsia"/>
                      <w:kern w:val="0"/>
                      <w:szCs w:val="21"/>
                    </w:rPr>
                    <w:t>第六部分</w:t>
                  </w:r>
                </w:p>
              </w:tc>
              <w:tc>
                <w:tcPr>
                  <w:tcW w:w="2330" w:type="pct"/>
                  <w:gridSpan w:val="2"/>
                  <w:noWrap w:val="0"/>
                  <w:vAlign w:val="center"/>
                </w:tcPr>
                <w:p>
                  <w:pPr>
                    <w:widowControl/>
                    <w:jc w:val="center"/>
                    <w:rPr>
                      <w:kern w:val="0"/>
                      <w:szCs w:val="21"/>
                    </w:rPr>
                  </w:pPr>
                  <w:r>
                    <w:rPr>
                      <w:rFonts w:hint="eastAsia"/>
                      <w:kern w:val="0"/>
                      <w:szCs w:val="21"/>
                    </w:rPr>
                    <w:t>基本预备费（前五部分合计的</w:t>
                  </w:r>
                  <w:r>
                    <w:rPr>
                      <w:kern w:val="0"/>
                      <w:szCs w:val="21"/>
                    </w:rPr>
                    <w:t>5%</w:t>
                  </w:r>
                  <w:r>
                    <w:rPr>
                      <w:rFonts w:hint="eastAsia"/>
                      <w:kern w:val="0"/>
                      <w:szCs w:val="21"/>
                    </w:rPr>
                    <w:t>）</w:t>
                  </w:r>
                </w:p>
              </w:tc>
              <w:tc>
                <w:tcPr>
                  <w:tcW w:w="682" w:type="pct"/>
                  <w:noWrap w:val="0"/>
                  <w:vAlign w:val="center"/>
                </w:tcPr>
                <w:p>
                  <w:pPr>
                    <w:widowControl/>
                    <w:jc w:val="center"/>
                    <w:rPr>
                      <w:kern w:val="0"/>
                      <w:szCs w:val="21"/>
                    </w:rPr>
                  </w:pPr>
                  <w:r>
                    <w:rPr>
                      <w:kern w:val="0"/>
                      <w:szCs w:val="21"/>
                    </w:rPr>
                    <w:t>　</w:t>
                  </w:r>
                </w:p>
              </w:tc>
              <w:tc>
                <w:tcPr>
                  <w:tcW w:w="589" w:type="pct"/>
                  <w:noWrap w:val="0"/>
                  <w:vAlign w:val="center"/>
                </w:tcPr>
                <w:p>
                  <w:pPr>
                    <w:widowControl/>
                    <w:jc w:val="center"/>
                    <w:rPr>
                      <w:kern w:val="0"/>
                      <w:szCs w:val="21"/>
                    </w:rPr>
                  </w:pPr>
                  <w:r>
                    <w:rPr>
                      <w:kern w:val="0"/>
                      <w:szCs w:val="21"/>
                    </w:rPr>
                    <w:t>5%</w:t>
                  </w:r>
                </w:p>
              </w:tc>
              <w:tc>
                <w:tcPr>
                  <w:tcW w:w="774" w:type="pct"/>
                  <w:noWrap w:val="0"/>
                  <w:vAlign w:val="center"/>
                </w:tcPr>
                <w:p>
                  <w:pPr>
                    <w:widowControl/>
                    <w:jc w:val="center"/>
                    <w:rPr>
                      <w:kern w:val="0"/>
                      <w:szCs w:val="21"/>
                    </w:rPr>
                  </w:pPr>
                  <w:r>
                    <w:rPr>
                      <w:kern w:val="0"/>
                      <w:szCs w:val="21"/>
                    </w:rPr>
                    <w:t xml:space="preserve">2.36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26" w:type="pct"/>
                  <w:gridSpan w:val="5"/>
                  <w:noWrap w:val="0"/>
                  <w:vAlign w:val="center"/>
                </w:tcPr>
                <w:p>
                  <w:pPr>
                    <w:widowControl/>
                    <w:jc w:val="center"/>
                    <w:rPr>
                      <w:kern w:val="0"/>
                      <w:szCs w:val="21"/>
                    </w:rPr>
                  </w:pPr>
                  <w:r>
                    <w:rPr>
                      <w:rFonts w:hint="eastAsia"/>
                      <w:kern w:val="0"/>
                      <w:szCs w:val="21"/>
                    </w:rPr>
                    <w:t>环境保护总投资</w:t>
                  </w:r>
                </w:p>
              </w:tc>
              <w:tc>
                <w:tcPr>
                  <w:tcW w:w="774" w:type="pct"/>
                  <w:noWrap w:val="0"/>
                  <w:vAlign w:val="center"/>
                </w:tcPr>
                <w:p>
                  <w:pPr>
                    <w:widowControl/>
                    <w:jc w:val="center"/>
                    <w:rPr>
                      <w:kern w:val="0"/>
                      <w:szCs w:val="21"/>
                    </w:rPr>
                  </w:pPr>
                  <w:r>
                    <w:rPr>
                      <w:kern w:val="0"/>
                      <w:szCs w:val="21"/>
                    </w:rPr>
                    <w:t xml:space="preserve">49.65 </w:t>
                  </w:r>
                </w:p>
              </w:tc>
            </w:tr>
          </w:tbl>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spacing w:line="360" w:lineRule="auto"/>
              <w:ind w:firstLine="480"/>
              <w:textAlignment w:val="baseline"/>
              <w:rPr>
                <w:rFonts w:hint="eastAsia"/>
                <w:sz w:val="24"/>
              </w:rPr>
            </w:pPr>
          </w:p>
          <w:p>
            <w:pPr>
              <w:widowControl/>
              <w:jc w:val="left"/>
            </w:pPr>
          </w:p>
        </w:tc>
      </w:tr>
    </w:tbl>
    <w:p>
      <w:pPr>
        <w:sectPr>
          <w:pgSz w:w="11907" w:h="16840"/>
          <w:pgMar w:top="1440" w:right="1797" w:bottom="1440" w:left="1797" w:header="851" w:footer="1077" w:gutter="0"/>
          <w:cols w:space="720" w:num="1"/>
          <w:docGrid w:linePitch="312" w:charSpace="0"/>
        </w:sectPr>
      </w:pPr>
    </w:p>
    <w:p>
      <w:pPr>
        <w:pStyle w:val="12"/>
        <w:jc w:val="center"/>
        <w:outlineLvl w:val="0"/>
        <w:rPr>
          <w:rFonts w:ascii="黑体" w:hAnsi="黑体" w:eastAsia="黑体"/>
          <w:snapToGrid w:val="0"/>
          <w:sz w:val="30"/>
          <w:szCs w:val="30"/>
        </w:rPr>
      </w:pPr>
      <w:bookmarkStart w:id="29" w:name="_Toc138834968"/>
      <w:r>
        <w:rPr>
          <w:rFonts w:hint="eastAsia" w:ascii="黑体" w:hAnsi="黑体" w:eastAsia="黑体"/>
          <w:snapToGrid w:val="0"/>
          <w:sz w:val="30"/>
          <w:szCs w:val="30"/>
        </w:rPr>
        <w:t>六、生态环境保护措施监督检查清单</w:t>
      </w:r>
      <w:bookmarkEnd w:id="29"/>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2125"/>
        <w:gridCol w:w="2127"/>
        <w:gridCol w:w="1133"/>
        <w:gridCol w:w="11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145" w:type="pct"/>
            <w:vMerge w:val="restart"/>
            <w:tcBorders>
              <w:tl2br w:val="single" w:color="auto" w:sz="4" w:space="0"/>
            </w:tcBorders>
            <w:noWrap w:val="0"/>
            <w:vAlign w:val="top"/>
          </w:tcPr>
          <w:p>
            <w:pPr>
              <w:pStyle w:val="12"/>
              <w:adjustRightInd w:val="0"/>
              <w:snapToGrid w:val="0"/>
              <w:spacing w:before="72" w:beforeLines="30" w:beforeAutospacing="0" w:after="0" w:afterAutospacing="0"/>
              <w:jc w:val="center"/>
              <w:rPr>
                <w:rFonts w:ascii="Times New Roman" w:hAnsi="Times New Roman"/>
                <w:kern w:val="2"/>
                <w:sz w:val="21"/>
                <w:szCs w:val="21"/>
              </w:rPr>
            </w:pPr>
            <w:r>
              <w:rPr>
                <w:rFonts w:ascii="Times New Roman" w:hAnsi="Times New Roman"/>
                <w:kern w:val="2"/>
                <w:sz w:val="21"/>
                <w:szCs w:val="21"/>
              </w:rPr>
              <w:t xml:space="preserve">   </w:t>
            </w:r>
          </w:p>
          <w:p>
            <w:pPr>
              <w:pStyle w:val="12"/>
              <w:adjustRightInd w:val="0"/>
              <w:snapToGrid w:val="0"/>
              <w:spacing w:before="72" w:beforeLines="30" w:beforeAutospacing="0" w:after="0" w:afterAutospacing="0"/>
              <w:jc w:val="center"/>
              <w:rPr>
                <w:rFonts w:ascii="Times New Roman" w:hAnsi="Times New Roman"/>
                <w:kern w:val="2"/>
                <w:sz w:val="21"/>
                <w:szCs w:val="21"/>
              </w:rPr>
            </w:pPr>
            <w:r>
              <w:rPr>
                <w:rFonts w:ascii="Times New Roman" w:hAnsi="Times New Roman"/>
                <w:kern w:val="2"/>
                <w:sz w:val="21"/>
                <w:szCs w:val="21"/>
              </w:rPr>
              <w:t xml:space="preserve">         </w:t>
            </w:r>
            <w:bookmarkStart w:id="30" w:name="_Toc77597932"/>
            <w:r>
              <w:rPr>
                <w:rFonts w:ascii="Times New Roman" w:hAnsi="Times New Roman"/>
                <w:kern w:val="2"/>
                <w:sz w:val="21"/>
                <w:szCs w:val="21"/>
              </w:rPr>
              <w:t xml:space="preserve"> 内容</w:t>
            </w:r>
            <w:bookmarkEnd w:id="30"/>
          </w:p>
          <w:p>
            <w:pPr>
              <w:pStyle w:val="12"/>
              <w:adjustRightInd w:val="0"/>
              <w:snapToGrid w:val="0"/>
              <w:spacing w:before="0" w:beforeAutospacing="0" w:after="0" w:afterAutospacing="0" w:line="14" w:lineRule="auto"/>
              <w:rPr>
                <w:rFonts w:ascii="Times New Roman" w:hAnsi="Times New Roman"/>
                <w:kern w:val="2"/>
                <w:sz w:val="21"/>
                <w:szCs w:val="21"/>
              </w:rPr>
            </w:pPr>
            <w:r>
              <w:rPr>
                <w:rFonts w:ascii="Times New Roman" w:hAnsi="Times New Roman"/>
                <w:kern w:val="2"/>
                <w:sz w:val="21"/>
                <w:szCs w:val="21"/>
              </w:rPr>
              <w:t xml:space="preserve">  </w:t>
            </w:r>
          </w:p>
          <w:p>
            <w:pPr>
              <w:pStyle w:val="12"/>
              <w:adjustRightInd w:val="0"/>
              <w:snapToGrid w:val="0"/>
              <w:spacing w:before="0" w:beforeAutospacing="0" w:after="0" w:afterAutospacing="0"/>
              <w:rPr>
                <w:rFonts w:ascii="Times New Roman" w:hAnsi="Times New Roman"/>
                <w:kern w:val="2"/>
                <w:sz w:val="21"/>
                <w:szCs w:val="21"/>
              </w:rPr>
            </w:pPr>
            <w:bookmarkStart w:id="31" w:name="_Toc77597933"/>
            <w:r>
              <w:rPr>
                <w:rFonts w:ascii="Times New Roman" w:hAnsi="Times New Roman"/>
                <w:kern w:val="2"/>
                <w:sz w:val="21"/>
                <w:szCs w:val="21"/>
              </w:rPr>
              <w:t>要素</w:t>
            </w:r>
            <w:bookmarkEnd w:id="31"/>
          </w:p>
        </w:tc>
        <w:tc>
          <w:tcPr>
            <w:tcW w:w="2495" w:type="pct"/>
            <w:gridSpan w:val="2"/>
            <w:noWrap w:val="0"/>
            <w:vAlign w:val="center"/>
          </w:tcPr>
          <w:p>
            <w:pPr>
              <w:pStyle w:val="12"/>
              <w:adjustRightInd w:val="0"/>
              <w:snapToGrid w:val="0"/>
              <w:spacing w:before="0" w:beforeAutospacing="0" w:after="0" w:afterAutospacing="0"/>
              <w:jc w:val="center"/>
              <w:rPr>
                <w:rFonts w:ascii="Times New Roman" w:hAnsi="Times New Roman"/>
                <w:kern w:val="2"/>
                <w:sz w:val="21"/>
                <w:szCs w:val="21"/>
              </w:rPr>
            </w:pPr>
            <w:bookmarkStart w:id="32" w:name="_Toc77597934"/>
            <w:r>
              <w:rPr>
                <w:rFonts w:ascii="Times New Roman" w:hAnsi="Times New Roman"/>
                <w:kern w:val="2"/>
                <w:sz w:val="21"/>
                <w:szCs w:val="21"/>
              </w:rPr>
              <w:t>施工期</w:t>
            </w:r>
            <w:bookmarkEnd w:id="32"/>
          </w:p>
        </w:tc>
        <w:tc>
          <w:tcPr>
            <w:tcW w:w="1360" w:type="pct"/>
            <w:gridSpan w:val="2"/>
            <w:noWrap w:val="0"/>
            <w:vAlign w:val="center"/>
          </w:tcPr>
          <w:p>
            <w:pPr>
              <w:pStyle w:val="12"/>
              <w:adjustRightInd w:val="0"/>
              <w:snapToGrid w:val="0"/>
              <w:spacing w:before="0" w:beforeAutospacing="0" w:after="0" w:afterAutospacing="0"/>
              <w:jc w:val="center"/>
              <w:rPr>
                <w:rFonts w:ascii="Times New Roman" w:hAnsi="Times New Roman"/>
                <w:kern w:val="2"/>
                <w:sz w:val="21"/>
                <w:szCs w:val="21"/>
              </w:rPr>
            </w:pPr>
            <w:bookmarkStart w:id="33" w:name="_Toc77597935"/>
            <w:r>
              <w:rPr>
                <w:rFonts w:ascii="Times New Roman" w:hAnsi="Times New Roman"/>
                <w:kern w:val="2"/>
                <w:sz w:val="21"/>
                <w:szCs w:val="21"/>
              </w:rPr>
              <w:t>运营期</w:t>
            </w:r>
            <w:bookmarkEnd w:id="3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145" w:type="pct"/>
            <w:vMerge w:val="continue"/>
            <w:noWrap w:val="0"/>
            <w:vAlign w:val="top"/>
          </w:tcPr>
          <w:p>
            <w:pPr>
              <w:pStyle w:val="12"/>
              <w:adjustRightInd w:val="0"/>
              <w:snapToGrid w:val="0"/>
              <w:spacing w:before="0" w:beforeAutospacing="0" w:after="0" w:afterAutospacing="0"/>
              <w:ind w:firstLine="840"/>
              <w:jc w:val="center"/>
              <w:rPr>
                <w:rFonts w:ascii="Times New Roman" w:hAnsi="Times New Roman"/>
                <w:kern w:val="2"/>
                <w:sz w:val="21"/>
                <w:szCs w:val="21"/>
              </w:rPr>
            </w:pPr>
          </w:p>
        </w:tc>
        <w:tc>
          <w:tcPr>
            <w:tcW w:w="1247" w:type="pct"/>
            <w:noWrap w:val="0"/>
            <w:vAlign w:val="center"/>
          </w:tcPr>
          <w:p>
            <w:pPr>
              <w:pStyle w:val="12"/>
              <w:adjustRightInd w:val="0"/>
              <w:snapToGrid w:val="0"/>
              <w:spacing w:before="0" w:beforeAutospacing="0" w:after="0" w:afterAutospacing="0"/>
              <w:jc w:val="center"/>
              <w:rPr>
                <w:rFonts w:ascii="Times New Roman" w:hAnsi="Times New Roman"/>
                <w:kern w:val="2"/>
                <w:sz w:val="21"/>
                <w:szCs w:val="21"/>
              </w:rPr>
            </w:pPr>
            <w:bookmarkStart w:id="34" w:name="_Toc77597936"/>
            <w:r>
              <w:rPr>
                <w:rFonts w:ascii="Times New Roman" w:hAnsi="Times New Roman"/>
                <w:kern w:val="2"/>
                <w:sz w:val="21"/>
                <w:szCs w:val="21"/>
              </w:rPr>
              <w:t>环境保护措施</w:t>
            </w:r>
            <w:bookmarkEnd w:id="34"/>
          </w:p>
        </w:tc>
        <w:tc>
          <w:tcPr>
            <w:tcW w:w="1248" w:type="pct"/>
            <w:noWrap w:val="0"/>
            <w:vAlign w:val="center"/>
          </w:tcPr>
          <w:p>
            <w:pPr>
              <w:pStyle w:val="12"/>
              <w:adjustRightInd w:val="0"/>
              <w:snapToGrid w:val="0"/>
              <w:spacing w:before="0" w:beforeAutospacing="0" w:after="0" w:afterAutospacing="0"/>
              <w:jc w:val="center"/>
              <w:rPr>
                <w:rFonts w:ascii="Times New Roman" w:hAnsi="Times New Roman"/>
                <w:kern w:val="2"/>
                <w:sz w:val="21"/>
                <w:szCs w:val="21"/>
              </w:rPr>
            </w:pPr>
            <w:bookmarkStart w:id="35" w:name="_Toc77597937"/>
            <w:r>
              <w:rPr>
                <w:rFonts w:ascii="Times New Roman" w:hAnsi="Times New Roman"/>
                <w:kern w:val="2"/>
                <w:sz w:val="21"/>
                <w:szCs w:val="21"/>
              </w:rPr>
              <w:t>验收要求</w:t>
            </w:r>
            <w:bookmarkEnd w:id="35"/>
          </w:p>
        </w:tc>
        <w:tc>
          <w:tcPr>
            <w:tcW w:w="665" w:type="pct"/>
            <w:noWrap w:val="0"/>
            <w:vAlign w:val="center"/>
          </w:tcPr>
          <w:p>
            <w:pPr>
              <w:pStyle w:val="12"/>
              <w:adjustRightInd w:val="0"/>
              <w:snapToGrid w:val="0"/>
              <w:spacing w:before="0" w:beforeAutospacing="0" w:after="0" w:afterAutospacing="0"/>
              <w:jc w:val="center"/>
              <w:rPr>
                <w:rFonts w:ascii="Times New Roman" w:hAnsi="Times New Roman"/>
                <w:kern w:val="2"/>
                <w:sz w:val="21"/>
                <w:szCs w:val="21"/>
              </w:rPr>
            </w:pPr>
            <w:bookmarkStart w:id="36" w:name="_Toc77597938"/>
            <w:r>
              <w:rPr>
                <w:rFonts w:ascii="Times New Roman" w:hAnsi="Times New Roman"/>
                <w:kern w:val="2"/>
                <w:sz w:val="21"/>
                <w:szCs w:val="21"/>
              </w:rPr>
              <w:t>环境保护措施</w:t>
            </w:r>
            <w:bookmarkEnd w:id="36"/>
          </w:p>
        </w:tc>
        <w:tc>
          <w:tcPr>
            <w:tcW w:w="695" w:type="pct"/>
            <w:noWrap w:val="0"/>
            <w:vAlign w:val="center"/>
          </w:tcPr>
          <w:p>
            <w:pPr>
              <w:pStyle w:val="12"/>
              <w:adjustRightInd w:val="0"/>
              <w:snapToGrid w:val="0"/>
              <w:spacing w:before="0" w:beforeAutospacing="0" w:after="0" w:afterAutospacing="0"/>
              <w:jc w:val="center"/>
              <w:rPr>
                <w:rFonts w:ascii="Times New Roman" w:hAnsi="Times New Roman"/>
                <w:kern w:val="2"/>
                <w:sz w:val="21"/>
                <w:szCs w:val="21"/>
              </w:rPr>
            </w:pPr>
            <w:bookmarkStart w:id="37" w:name="_Toc77597939"/>
            <w:r>
              <w:rPr>
                <w:rFonts w:ascii="Times New Roman" w:hAnsi="Times New Roman"/>
                <w:kern w:val="2"/>
                <w:sz w:val="21"/>
                <w:szCs w:val="21"/>
              </w:rPr>
              <w:t>验收要求</w:t>
            </w:r>
            <w:bookmarkEnd w:id="3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陆生生态</w:t>
            </w:r>
          </w:p>
        </w:tc>
        <w:tc>
          <w:tcPr>
            <w:tcW w:w="1247" w:type="pct"/>
            <w:noWrap w:val="0"/>
            <w:vAlign w:val="center"/>
          </w:tcPr>
          <w:p>
            <w:pPr>
              <w:adjustRightInd w:val="0"/>
              <w:snapToGrid w:val="0"/>
              <w:rPr>
                <w:szCs w:val="21"/>
              </w:rPr>
            </w:pPr>
            <w:r>
              <w:rPr>
                <w:rFonts w:hint="eastAsia"/>
                <w:szCs w:val="21"/>
              </w:rPr>
              <w:t>对临时占地进行植被恢复。临时占用耕地部分，要求利用复垦方案进行复垦（由专项负责）；临时占用其他草地部分，待施工结束后应及时原地等面积恢复为草地。</w:t>
            </w:r>
          </w:p>
        </w:tc>
        <w:tc>
          <w:tcPr>
            <w:tcW w:w="1248" w:type="pct"/>
            <w:noWrap w:val="0"/>
            <w:vAlign w:val="center"/>
          </w:tcPr>
          <w:p>
            <w:pPr>
              <w:adjustRightInd w:val="0"/>
              <w:snapToGrid w:val="0"/>
              <w:rPr>
                <w:szCs w:val="21"/>
              </w:rPr>
            </w:pPr>
            <w:r>
              <w:rPr>
                <w:rFonts w:hint="eastAsia"/>
                <w:szCs w:val="21"/>
              </w:rPr>
              <w:t>临时占地</w:t>
            </w:r>
            <w:r>
              <w:rPr>
                <w:szCs w:val="21"/>
              </w:rPr>
              <w:t>恢复率100%。</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水生生态</w:t>
            </w:r>
          </w:p>
        </w:tc>
        <w:tc>
          <w:tcPr>
            <w:tcW w:w="1247" w:type="pct"/>
            <w:noWrap w:val="0"/>
            <w:vAlign w:val="center"/>
          </w:tcPr>
          <w:p>
            <w:pPr>
              <w:adjustRightInd w:val="0"/>
              <w:snapToGrid w:val="0"/>
              <w:rPr>
                <w:szCs w:val="21"/>
              </w:rPr>
            </w:pPr>
            <w:r>
              <w:rPr>
                <w:rFonts w:hint="eastAsia"/>
                <w:szCs w:val="21"/>
              </w:rPr>
              <w:t>加强施工人员管理，严格禁止施工人员捕捞鱼类等活动。及时处理固体垃圾，有效处理废水，禁止将生产生活废、污水排入地表水体。</w:t>
            </w:r>
          </w:p>
        </w:tc>
        <w:tc>
          <w:tcPr>
            <w:tcW w:w="1248" w:type="pct"/>
            <w:noWrap w:val="0"/>
            <w:vAlign w:val="center"/>
          </w:tcPr>
          <w:p>
            <w:pPr>
              <w:adjustRightInd w:val="0"/>
              <w:snapToGrid w:val="0"/>
              <w:jc w:val="center"/>
              <w:rPr>
                <w:szCs w:val="21"/>
              </w:rPr>
            </w:pPr>
            <w:r>
              <w:rPr>
                <w:rFonts w:hint="eastAsia" w:ascii="宋体" w:hAnsi="宋体" w:cs="宋体"/>
                <w:sz w:val="18"/>
                <w:szCs w:val="18"/>
              </w:rPr>
              <w:t>/</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地表水环境</w:t>
            </w:r>
          </w:p>
        </w:tc>
        <w:tc>
          <w:tcPr>
            <w:tcW w:w="1247" w:type="pct"/>
            <w:noWrap w:val="0"/>
            <w:vAlign w:val="center"/>
          </w:tcPr>
          <w:p>
            <w:pPr>
              <w:adjustRightInd w:val="0"/>
              <w:snapToGrid w:val="0"/>
              <w:rPr>
                <w:rFonts w:hint="eastAsia"/>
                <w:szCs w:val="21"/>
              </w:rPr>
            </w:pPr>
            <w:r>
              <w:rPr>
                <w:rFonts w:hint="eastAsia"/>
                <w:szCs w:val="21"/>
              </w:rPr>
              <w:t>混凝土拌和及养护废水</w:t>
            </w:r>
            <w:r>
              <w:rPr>
                <w:szCs w:val="21"/>
              </w:rPr>
              <w:t>处理</w:t>
            </w:r>
            <w:r>
              <w:rPr>
                <w:rFonts w:hint="eastAsia"/>
                <w:szCs w:val="21"/>
              </w:rPr>
              <w:t>：采用间歇式自然沉淀、加酸中和的方式处理，共配置2个预沉池、1个沉淀池、1个清水池等；</w:t>
            </w:r>
          </w:p>
          <w:p>
            <w:pPr>
              <w:widowControl/>
              <w:jc w:val="left"/>
              <w:rPr>
                <w:rFonts w:hint="eastAsia"/>
              </w:rPr>
            </w:pPr>
            <w:r>
              <w:rPr>
                <w:rFonts w:hint="eastAsia"/>
              </w:rPr>
              <w:t>基坑排水处理：采用絮凝沉淀、加酸中和的方式处理，</w:t>
            </w:r>
            <w:r>
              <w:rPr>
                <w:rFonts w:hint="eastAsia"/>
                <w:szCs w:val="21"/>
              </w:rPr>
              <w:t>共配置2个沉淀池、1个反应池、1个清水池等；</w:t>
            </w:r>
          </w:p>
          <w:p>
            <w:pPr>
              <w:widowControl/>
              <w:jc w:val="left"/>
            </w:pPr>
            <w:r>
              <w:rPr>
                <w:szCs w:val="21"/>
              </w:rPr>
              <w:t>生活污水处理</w:t>
            </w:r>
            <w:r>
              <w:rPr>
                <w:rFonts w:hint="eastAsia"/>
                <w:szCs w:val="21"/>
              </w:rPr>
              <w:t>：1个环保型防渗旱厕和1个化粪池。生活污水排放到环保型防渗旱厕内后进入化粪池，防渗旱厕定期消毒，化粪池用吸粪车定期抽出外运。</w:t>
            </w:r>
          </w:p>
        </w:tc>
        <w:tc>
          <w:tcPr>
            <w:tcW w:w="1248" w:type="pct"/>
            <w:noWrap w:val="0"/>
            <w:vAlign w:val="center"/>
          </w:tcPr>
          <w:p>
            <w:pPr>
              <w:widowControl/>
              <w:jc w:val="left"/>
              <w:rPr>
                <w:szCs w:val="21"/>
              </w:rPr>
            </w:pPr>
            <w:r>
              <w:rPr>
                <w:szCs w:val="21"/>
              </w:rPr>
              <w:t>废污水处理设施及防渗措施应保留影像资料。</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地下水及土壤环境</w:t>
            </w:r>
          </w:p>
        </w:tc>
        <w:tc>
          <w:tcPr>
            <w:tcW w:w="1247" w:type="pct"/>
            <w:noWrap w:val="0"/>
            <w:vAlign w:val="center"/>
          </w:tcPr>
          <w:p>
            <w:pPr>
              <w:adjustRightInd w:val="0"/>
              <w:snapToGrid w:val="0"/>
              <w:rPr>
                <w:szCs w:val="21"/>
              </w:rPr>
            </w:pPr>
            <w:r>
              <w:rPr>
                <w:szCs w:val="21"/>
              </w:rPr>
              <w:t>按照导则要求，</w:t>
            </w:r>
            <w:r>
              <w:rPr>
                <w:rFonts w:hint="eastAsia"/>
                <w:szCs w:val="21"/>
              </w:rPr>
              <w:t>混凝土拌和及养护废水、基坑排水、生活污水</w:t>
            </w:r>
            <w:r>
              <w:rPr>
                <w:szCs w:val="21"/>
              </w:rPr>
              <w:t>处理设施底部及四周进行有效防渗，</w:t>
            </w:r>
          </w:p>
        </w:tc>
        <w:tc>
          <w:tcPr>
            <w:tcW w:w="1248" w:type="pct"/>
            <w:noWrap w:val="0"/>
            <w:vAlign w:val="center"/>
          </w:tcPr>
          <w:p>
            <w:pPr>
              <w:adjustRightInd w:val="0"/>
              <w:snapToGrid w:val="0"/>
              <w:rPr>
                <w:szCs w:val="21"/>
              </w:rPr>
            </w:pPr>
            <w:r>
              <w:rPr>
                <w:szCs w:val="21"/>
              </w:rPr>
              <w:t>留有</w:t>
            </w:r>
            <w:r>
              <w:rPr>
                <w:rFonts w:hint="eastAsia"/>
                <w:szCs w:val="21"/>
              </w:rPr>
              <w:t>记录及</w:t>
            </w:r>
            <w:r>
              <w:rPr>
                <w:szCs w:val="21"/>
              </w:rPr>
              <w:t>影像资料。</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声环境</w:t>
            </w:r>
          </w:p>
        </w:tc>
        <w:tc>
          <w:tcPr>
            <w:tcW w:w="1247" w:type="pct"/>
            <w:noWrap w:val="0"/>
            <w:vAlign w:val="center"/>
          </w:tcPr>
          <w:p>
            <w:pPr>
              <w:adjustRightInd w:val="0"/>
              <w:snapToGrid w:val="0"/>
              <w:rPr>
                <w:szCs w:val="21"/>
              </w:rPr>
            </w:pPr>
            <w:r>
              <w:rPr>
                <w:rFonts w:hint="eastAsia"/>
                <w:szCs w:val="21"/>
              </w:rPr>
              <w:t>加强施工机械设备及运输车辆管理</w:t>
            </w:r>
          </w:p>
        </w:tc>
        <w:tc>
          <w:tcPr>
            <w:tcW w:w="1248" w:type="pct"/>
            <w:noWrap w:val="0"/>
            <w:vAlign w:val="center"/>
          </w:tcPr>
          <w:p>
            <w:pPr>
              <w:adjustRightInd w:val="0"/>
              <w:snapToGrid w:val="0"/>
              <w:jc w:val="left"/>
              <w:rPr>
                <w:szCs w:val="21"/>
              </w:rPr>
            </w:pPr>
            <w:r>
              <w:rPr>
                <w:rFonts w:hint="eastAsia"/>
                <w:szCs w:val="21"/>
              </w:rPr>
              <w:t>施工场界执行《建筑施工场界环境噪声排放标准》（GB12523-2011）表1要求。</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振动</w:t>
            </w:r>
          </w:p>
        </w:tc>
        <w:tc>
          <w:tcPr>
            <w:tcW w:w="1247" w:type="pct"/>
            <w:noWrap w:val="0"/>
            <w:vAlign w:val="center"/>
          </w:tcPr>
          <w:p>
            <w:pPr>
              <w:adjustRightInd w:val="0"/>
              <w:snapToGrid w:val="0"/>
              <w:jc w:val="center"/>
              <w:rPr>
                <w:szCs w:val="21"/>
              </w:rPr>
            </w:pPr>
            <w:r>
              <w:rPr>
                <w:rFonts w:hint="eastAsia" w:ascii="宋体" w:hAnsi="宋体" w:cs="宋体"/>
                <w:sz w:val="18"/>
                <w:szCs w:val="18"/>
              </w:rPr>
              <w:t>/</w:t>
            </w:r>
          </w:p>
        </w:tc>
        <w:tc>
          <w:tcPr>
            <w:tcW w:w="1248" w:type="pct"/>
            <w:noWrap w:val="0"/>
            <w:vAlign w:val="center"/>
          </w:tcPr>
          <w:p>
            <w:pPr>
              <w:adjustRightInd w:val="0"/>
              <w:snapToGrid w:val="0"/>
              <w:jc w:val="center"/>
              <w:rPr>
                <w:szCs w:val="21"/>
              </w:rPr>
            </w:pPr>
            <w:r>
              <w:rPr>
                <w:rFonts w:hint="eastAsia" w:ascii="宋体" w:hAnsi="宋体" w:cs="宋体"/>
                <w:sz w:val="18"/>
                <w:szCs w:val="18"/>
              </w:rPr>
              <w:t>/</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大气环境</w:t>
            </w:r>
          </w:p>
        </w:tc>
        <w:tc>
          <w:tcPr>
            <w:tcW w:w="1247" w:type="pct"/>
            <w:noWrap w:val="0"/>
            <w:vAlign w:val="center"/>
          </w:tcPr>
          <w:p>
            <w:pPr>
              <w:adjustRightInd w:val="0"/>
              <w:snapToGrid w:val="0"/>
              <w:rPr>
                <w:szCs w:val="21"/>
              </w:rPr>
            </w:pPr>
            <w:r>
              <w:rPr>
                <w:rFonts w:hint="eastAsia"/>
                <w:szCs w:val="21"/>
              </w:rPr>
              <w:t>混凝土拌和系统四周布设1个砼拌和屏蔽棚；施工场地洒水降尘、多尘物料覆盖布料、加强施工机械及运输车辆的保养和维修。</w:t>
            </w:r>
          </w:p>
        </w:tc>
        <w:tc>
          <w:tcPr>
            <w:tcW w:w="1248" w:type="pct"/>
            <w:noWrap w:val="0"/>
            <w:vAlign w:val="center"/>
          </w:tcPr>
          <w:p>
            <w:pPr>
              <w:adjustRightInd w:val="0"/>
              <w:snapToGrid w:val="0"/>
              <w:jc w:val="left"/>
              <w:rPr>
                <w:szCs w:val="21"/>
              </w:rPr>
            </w:pPr>
            <w:r>
              <w:rPr>
                <w:rFonts w:hint="eastAsia"/>
                <w:szCs w:val="21"/>
              </w:rPr>
              <w:t>《大气污染物综合排放标准》（GB16297-1996）表2中颗粒物无组织排放监控浓度限值（1.0mg/m</w:t>
            </w:r>
            <w:r>
              <w:rPr>
                <w:rFonts w:hint="eastAsia"/>
                <w:szCs w:val="21"/>
                <w:vertAlign w:val="superscript"/>
              </w:rPr>
              <w:t>3</w:t>
            </w:r>
            <w:r>
              <w:rPr>
                <w:rFonts w:hint="eastAsia"/>
                <w:szCs w:val="21"/>
              </w:rPr>
              <w:t>）</w:t>
            </w:r>
            <w:r>
              <w:rPr>
                <w:szCs w:val="21"/>
              </w:rPr>
              <w:t>。</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固体废物</w:t>
            </w:r>
          </w:p>
        </w:tc>
        <w:tc>
          <w:tcPr>
            <w:tcW w:w="1247" w:type="pct"/>
            <w:noWrap w:val="0"/>
            <w:vAlign w:val="center"/>
          </w:tcPr>
          <w:p>
            <w:pPr>
              <w:adjustRightInd w:val="0"/>
              <w:snapToGrid w:val="0"/>
              <w:rPr>
                <w:szCs w:val="21"/>
              </w:rPr>
            </w:pPr>
            <w:r>
              <w:rPr>
                <w:szCs w:val="21"/>
              </w:rPr>
              <w:t>生活垃圾收集于垃圾箱中，定期清运</w:t>
            </w:r>
            <w:r>
              <w:rPr>
                <w:rFonts w:hint="eastAsia"/>
                <w:szCs w:val="21"/>
              </w:rPr>
              <w:t>。</w:t>
            </w:r>
          </w:p>
        </w:tc>
        <w:tc>
          <w:tcPr>
            <w:tcW w:w="1248" w:type="pct"/>
            <w:noWrap w:val="0"/>
            <w:vAlign w:val="center"/>
          </w:tcPr>
          <w:p>
            <w:pPr>
              <w:adjustRightInd w:val="0"/>
              <w:snapToGrid w:val="0"/>
              <w:rPr>
                <w:szCs w:val="21"/>
              </w:rPr>
            </w:pPr>
            <w:r>
              <w:rPr>
                <w:rFonts w:hint="eastAsia"/>
                <w:szCs w:val="21"/>
              </w:rPr>
              <w:t>生活</w:t>
            </w:r>
            <w:r>
              <w:rPr>
                <w:szCs w:val="21"/>
              </w:rPr>
              <w:t>垃圾处理率达100%。</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电磁环境</w:t>
            </w:r>
          </w:p>
        </w:tc>
        <w:tc>
          <w:tcPr>
            <w:tcW w:w="1247" w:type="pct"/>
            <w:noWrap w:val="0"/>
            <w:vAlign w:val="center"/>
          </w:tcPr>
          <w:p>
            <w:pPr>
              <w:adjustRightInd w:val="0"/>
              <w:snapToGrid w:val="0"/>
              <w:jc w:val="center"/>
              <w:rPr>
                <w:szCs w:val="21"/>
              </w:rPr>
            </w:pPr>
            <w:r>
              <w:rPr>
                <w:rFonts w:hint="eastAsia" w:ascii="宋体" w:hAnsi="宋体" w:cs="宋体"/>
                <w:sz w:val="18"/>
                <w:szCs w:val="18"/>
              </w:rPr>
              <w:t>/</w:t>
            </w:r>
          </w:p>
        </w:tc>
        <w:tc>
          <w:tcPr>
            <w:tcW w:w="1248" w:type="pct"/>
            <w:noWrap w:val="0"/>
            <w:vAlign w:val="center"/>
          </w:tcPr>
          <w:p>
            <w:pPr>
              <w:adjustRightInd w:val="0"/>
              <w:snapToGrid w:val="0"/>
              <w:jc w:val="center"/>
              <w:rPr>
                <w:szCs w:val="21"/>
              </w:rPr>
            </w:pPr>
            <w:r>
              <w:rPr>
                <w:rFonts w:hint="eastAsia" w:ascii="宋体" w:hAnsi="宋体" w:cs="宋体"/>
                <w:sz w:val="18"/>
                <w:szCs w:val="18"/>
              </w:rPr>
              <w:t>/</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环境风险</w:t>
            </w:r>
          </w:p>
        </w:tc>
        <w:tc>
          <w:tcPr>
            <w:tcW w:w="1247" w:type="pct"/>
            <w:noWrap w:val="0"/>
            <w:vAlign w:val="center"/>
          </w:tcPr>
          <w:p>
            <w:pPr>
              <w:adjustRightInd w:val="0"/>
              <w:snapToGrid w:val="0"/>
              <w:jc w:val="center"/>
              <w:rPr>
                <w:szCs w:val="21"/>
              </w:rPr>
            </w:pPr>
            <w:r>
              <w:rPr>
                <w:rFonts w:hint="eastAsia" w:ascii="宋体" w:hAnsi="宋体" w:cs="宋体"/>
                <w:sz w:val="18"/>
                <w:szCs w:val="18"/>
              </w:rPr>
              <w:t>/</w:t>
            </w:r>
          </w:p>
        </w:tc>
        <w:tc>
          <w:tcPr>
            <w:tcW w:w="1248" w:type="pct"/>
            <w:noWrap w:val="0"/>
            <w:vAlign w:val="center"/>
          </w:tcPr>
          <w:p>
            <w:pPr>
              <w:adjustRightInd w:val="0"/>
              <w:snapToGrid w:val="0"/>
              <w:jc w:val="center"/>
              <w:rPr>
                <w:szCs w:val="21"/>
              </w:rPr>
            </w:pPr>
            <w:r>
              <w:rPr>
                <w:rFonts w:hint="eastAsia" w:ascii="宋体" w:hAnsi="宋体" w:cs="宋体"/>
                <w:sz w:val="18"/>
                <w:szCs w:val="18"/>
              </w:rPr>
              <w:t>/</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环境监测</w:t>
            </w:r>
          </w:p>
        </w:tc>
        <w:tc>
          <w:tcPr>
            <w:tcW w:w="1247" w:type="pct"/>
            <w:noWrap w:val="0"/>
            <w:vAlign w:val="center"/>
          </w:tcPr>
          <w:p>
            <w:pPr>
              <w:adjustRightInd w:val="0"/>
              <w:snapToGrid w:val="0"/>
              <w:rPr>
                <w:szCs w:val="21"/>
              </w:rPr>
            </w:pPr>
            <w:r>
              <w:rPr>
                <w:rFonts w:hint="eastAsia"/>
                <w:szCs w:val="21"/>
              </w:rPr>
              <w:t>提出施工期地表水环境监测计划</w:t>
            </w:r>
          </w:p>
        </w:tc>
        <w:tc>
          <w:tcPr>
            <w:tcW w:w="1248" w:type="pct"/>
            <w:noWrap w:val="0"/>
            <w:vAlign w:val="center"/>
          </w:tcPr>
          <w:p>
            <w:pPr>
              <w:adjustRightInd w:val="0"/>
              <w:snapToGrid w:val="0"/>
              <w:rPr>
                <w:szCs w:val="21"/>
              </w:rPr>
            </w:pPr>
            <w:r>
              <w:rPr>
                <w:rFonts w:hint="eastAsia"/>
                <w:szCs w:val="21"/>
              </w:rPr>
              <w:t>落实环境监测计划，提供施工期环境监测报告</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45" w:type="pct"/>
            <w:noWrap w:val="0"/>
            <w:vAlign w:val="center"/>
          </w:tcPr>
          <w:p>
            <w:pPr>
              <w:adjustRightInd w:val="0"/>
              <w:snapToGrid w:val="0"/>
              <w:jc w:val="center"/>
              <w:rPr>
                <w:szCs w:val="21"/>
              </w:rPr>
            </w:pPr>
            <w:r>
              <w:rPr>
                <w:szCs w:val="21"/>
              </w:rPr>
              <w:t>其他</w:t>
            </w:r>
          </w:p>
        </w:tc>
        <w:tc>
          <w:tcPr>
            <w:tcW w:w="1247" w:type="pct"/>
            <w:noWrap w:val="0"/>
            <w:vAlign w:val="center"/>
          </w:tcPr>
          <w:p>
            <w:pPr>
              <w:adjustRightInd w:val="0"/>
              <w:snapToGrid w:val="0"/>
              <w:rPr>
                <w:szCs w:val="21"/>
              </w:rPr>
            </w:pPr>
            <w:r>
              <w:rPr>
                <w:rFonts w:hint="eastAsia"/>
                <w:szCs w:val="21"/>
              </w:rPr>
              <w:t>加强人群健康管理：</w:t>
            </w:r>
            <w:r>
              <w:rPr>
                <w:szCs w:val="21"/>
              </w:rPr>
              <w:t>在工程准备期，结合场地平整工作，对各施工区分别进行一次卫生清理。施工人员进入施工现场前要进行严格的健康检查，患有传染病的人员不得进入施工现场，发现传染病要及时隔离治疗。</w:t>
            </w:r>
          </w:p>
        </w:tc>
        <w:tc>
          <w:tcPr>
            <w:tcW w:w="1248" w:type="pct"/>
            <w:noWrap w:val="0"/>
            <w:vAlign w:val="center"/>
          </w:tcPr>
          <w:p>
            <w:pPr>
              <w:adjustRightInd w:val="0"/>
              <w:snapToGrid w:val="0"/>
              <w:jc w:val="center"/>
              <w:rPr>
                <w:szCs w:val="21"/>
              </w:rPr>
            </w:pPr>
            <w:r>
              <w:rPr>
                <w:rFonts w:hint="eastAsia" w:ascii="宋体" w:hAnsi="宋体" w:cs="宋体"/>
                <w:sz w:val="18"/>
                <w:szCs w:val="18"/>
              </w:rPr>
              <w:t>/</w:t>
            </w:r>
          </w:p>
        </w:tc>
        <w:tc>
          <w:tcPr>
            <w:tcW w:w="665" w:type="pct"/>
            <w:noWrap w:val="0"/>
            <w:vAlign w:val="center"/>
          </w:tcPr>
          <w:p>
            <w:pPr>
              <w:adjustRightInd w:val="0"/>
              <w:snapToGrid w:val="0"/>
              <w:jc w:val="center"/>
              <w:rPr>
                <w:szCs w:val="21"/>
              </w:rPr>
            </w:pPr>
            <w:r>
              <w:rPr>
                <w:rFonts w:hint="eastAsia" w:ascii="宋体" w:hAnsi="宋体" w:cs="宋体"/>
                <w:sz w:val="18"/>
                <w:szCs w:val="18"/>
              </w:rPr>
              <w:t>/</w:t>
            </w:r>
          </w:p>
        </w:tc>
        <w:tc>
          <w:tcPr>
            <w:tcW w:w="695" w:type="pct"/>
            <w:noWrap w:val="0"/>
            <w:vAlign w:val="center"/>
          </w:tcPr>
          <w:p>
            <w:pPr>
              <w:adjustRightInd w:val="0"/>
              <w:snapToGrid w:val="0"/>
              <w:jc w:val="center"/>
              <w:rPr>
                <w:szCs w:val="21"/>
              </w:rPr>
            </w:pPr>
            <w:r>
              <w:rPr>
                <w:rFonts w:hint="eastAsia" w:ascii="宋体" w:hAnsi="宋体" w:cs="宋体"/>
                <w:sz w:val="18"/>
                <w:szCs w:val="18"/>
              </w:rPr>
              <w:t>/</w:t>
            </w:r>
          </w:p>
        </w:tc>
      </w:tr>
    </w:tbl>
    <w:p>
      <w:pPr>
        <w:pStyle w:val="12"/>
        <w:spacing w:before="0" w:beforeAutospacing="0" w:line="14" w:lineRule="auto"/>
        <w:jc w:val="center"/>
        <w:outlineLvl w:val="0"/>
        <w:rPr>
          <w:rFonts w:hint="eastAsia" w:ascii="黑体" w:hAnsi="黑体" w:eastAsia="黑体"/>
          <w:snapToGrid w:val="0"/>
          <w:sz w:val="30"/>
          <w:szCs w:val="30"/>
        </w:rPr>
      </w:pPr>
      <w:r>
        <w:rPr>
          <w:rFonts w:ascii="黑体" w:hAnsi="黑体" w:eastAsia="黑体"/>
          <w:snapToGrid w:val="0"/>
          <w:sz w:val="30"/>
          <w:szCs w:val="30"/>
        </w:rPr>
        <w:br w:type="page"/>
      </w:r>
    </w:p>
    <w:p>
      <w:pPr>
        <w:pStyle w:val="12"/>
        <w:jc w:val="center"/>
        <w:outlineLvl w:val="0"/>
        <w:rPr>
          <w:rFonts w:ascii="黑体" w:hAnsi="黑体" w:eastAsia="黑体"/>
          <w:snapToGrid w:val="0"/>
          <w:sz w:val="30"/>
          <w:szCs w:val="30"/>
        </w:rPr>
      </w:pPr>
      <w:bookmarkStart w:id="38" w:name="_Toc138834969"/>
      <w:bookmarkStart w:id="39" w:name="_Toc77597940"/>
      <w:r>
        <w:rPr>
          <w:rFonts w:hint="eastAsia" w:ascii="黑体" w:hAnsi="黑体" w:eastAsia="黑体"/>
          <w:snapToGrid w:val="0"/>
          <w:sz w:val="30"/>
          <w:szCs w:val="30"/>
        </w:rPr>
        <w:t>七、结论</w:t>
      </w:r>
      <w:bookmarkEnd w:id="38"/>
      <w:bookmarkEnd w:id="39"/>
    </w:p>
    <w:tbl>
      <w:tblPr>
        <w:tblStyle w:val="14"/>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center"/>
          </w:tcPr>
          <w:p>
            <w:pPr>
              <w:adjustRightInd w:val="0"/>
              <w:snapToGrid w:val="0"/>
              <w:spacing w:line="360" w:lineRule="auto"/>
              <w:ind w:firstLine="454"/>
              <w:rPr>
                <w:rFonts w:hint="eastAsia"/>
                <w:sz w:val="24"/>
              </w:rPr>
            </w:pPr>
            <w:r>
              <w:rPr>
                <w:rFonts w:hint="eastAsia"/>
                <w:sz w:val="24"/>
              </w:rPr>
              <w:t>本项目主要是针对已有泄洪闸进行除险加固，属于水利类防洪工程。泄洪闸</w:t>
            </w:r>
            <w:r>
              <w:rPr>
                <w:rFonts w:hint="eastAsia"/>
                <w:bCs/>
                <w:kern w:val="0"/>
                <w:sz w:val="24"/>
                <w:szCs w:val="20"/>
              </w:rPr>
              <w:t>通过本次除险加固，保证泄洪能力，减轻防洪压力。对保护下游农民和耕地，减轻下游及周围村屯的洪涝灾害，保证周边土地的防洪安全十分重要。</w:t>
            </w:r>
            <w:r>
              <w:rPr>
                <w:rFonts w:hint="eastAsia"/>
                <w:sz w:val="24"/>
              </w:rPr>
              <w:t>项目的实施，可助力乡村振兴，工程建设完成后，将改善区域的生存环境和投资环境，对区域生态环境将起到改善作用，其社会效益、经济效益、环境效益显著。</w:t>
            </w:r>
            <w:r>
              <w:rPr>
                <w:rFonts w:hint="eastAsia"/>
                <w:bCs/>
                <w:kern w:val="0"/>
                <w:sz w:val="24"/>
                <w:szCs w:val="20"/>
              </w:rPr>
              <w:t>本项目属</w:t>
            </w:r>
            <w:r>
              <w:rPr>
                <w:rFonts w:hint="eastAsia"/>
                <w:bCs/>
                <w:sz w:val="24"/>
              </w:rPr>
              <w:t>非污染类工程项目，运行期间工程本身无污染物排放。</w:t>
            </w:r>
            <w:r>
              <w:rPr>
                <w:bCs/>
                <w:sz w:val="24"/>
              </w:rPr>
              <w:t>施工期工程</w:t>
            </w:r>
            <w:r>
              <w:rPr>
                <w:rFonts w:hint="eastAsia"/>
                <w:bCs/>
                <w:sz w:val="24"/>
              </w:rPr>
              <w:t>建设将</w:t>
            </w:r>
            <w:r>
              <w:rPr>
                <w:bCs/>
                <w:sz w:val="24"/>
              </w:rPr>
              <w:t>对周围环境将产生</w:t>
            </w:r>
            <w:r>
              <w:rPr>
                <w:rFonts w:hint="eastAsia"/>
                <w:bCs/>
                <w:sz w:val="24"/>
              </w:rPr>
              <w:t>一定的</w:t>
            </w:r>
            <w:r>
              <w:rPr>
                <w:bCs/>
                <w:sz w:val="24"/>
              </w:rPr>
              <w:t>不利影响，通过采取必要的环境保护措施可减缓工程施工对环境产生的不利影响。工程</w:t>
            </w:r>
            <w:r>
              <w:rPr>
                <w:rFonts w:hint="eastAsia"/>
                <w:bCs/>
                <w:sz w:val="24"/>
              </w:rPr>
              <w:t>建设</w:t>
            </w:r>
            <w:r>
              <w:rPr>
                <w:bCs/>
                <w:sz w:val="24"/>
              </w:rPr>
              <w:t>的有利影响远大于不利影响，</w:t>
            </w:r>
            <w:r>
              <w:rPr>
                <w:rFonts w:hint="eastAsia"/>
                <w:sz w:val="24"/>
              </w:rPr>
              <w:t>项目不存在重大环境制约性因素，从环境保护角度分析，工程是可行的。</w:t>
            </w: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adjustRightInd w:val="0"/>
              <w:snapToGrid w:val="0"/>
              <w:spacing w:line="360" w:lineRule="auto"/>
              <w:ind w:firstLine="454"/>
              <w:rPr>
                <w:rFonts w:hint="eastAsia"/>
                <w:sz w:val="24"/>
              </w:rPr>
            </w:pPr>
          </w:p>
          <w:p>
            <w:pPr>
              <w:widowControl/>
              <w:jc w:val="left"/>
            </w:pPr>
          </w:p>
        </w:tc>
      </w:tr>
    </w:tbl>
    <w:p>
      <w:pPr>
        <w:rPr>
          <w:rFonts w:ascii="宋体"/>
        </w:rPr>
      </w:pPr>
    </w:p>
    <w:p>
      <w:pPr>
        <w:pStyle w:val="12"/>
        <w:outlineLvl w:val="0"/>
        <w:rPr>
          <w:rFonts w:ascii="黑体" w:hAnsi="黑体" w:eastAsia="黑体"/>
          <w:snapToGrid w:val="0"/>
          <w:sz w:val="28"/>
          <w:szCs w:val="28"/>
        </w:rPr>
      </w:pPr>
      <w:r>
        <w:rPr>
          <w:rFonts w:ascii="黑体" w:hAnsi="黑体" w:eastAsia="黑体"/>
          <w:snapToGrid w:val="0"/>
          <w:sz w:val="32"/>
          <w:szCs w:val="32"/>
        </w:rPr>
        <w:br w:type="page"/>
      </w:r>
      <w:r>
        <w:rPr>
          <w:rFonts w:hint="eastAsia" w:ascii="黑体" w:hAnsi="黑体" w:eastAsia="黑体"/>
          <w:snapToGrid w:val="0"/>
          <w:sz w:val="28"/>
          <w:szCs w:val="28"/>
        </w:rPr>
        <w:t>附件1</w:t>
      </w:r>
    </w:p>
    <w:p>
      <w:pPr>
        <w:widowControl/>
        <w:jc w:val="center"/>
        <w:rPr>
          <w:rFonts w:hint="eastAsia"/>
        </w:rPr>
      </w:pPr>
      <w:r>
        <w:drawing>
          <wp:inline distT="0" distB="0" distL="114300" distR="114300">
            <wp:extent cx="5368290" cy="7642860"/>
            <wp:effectExtent l="0" t="0" r="3810" b="15240"/>
            <wp:docPr id="19" name="图片 9" descr="关于《绥化市永安灌区渠首枢纽泄洪闸除险加固工程初步设计报告》的批复(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关于《绥化市永安灌区渠首枢纽泄洪闸除险加固工程初步设计报告》的批复(1)_00"/>
                    <pic:cNvPicPr>
                      <a:picLocks noChangeAspect="1"/>
                    </pic:cNvPicPr>
                  </pic:nvPicPr>
                  <pic:blipFill>
                    <a:blip r:embed="rId15"/>
                    <a:stretch>
                      <a:fillRect/>
                    </a:stretch>
                  </pic:blipFill>
                  <pic:spPr>
                    <a:xfrm>
                      <a:off x="0" y="0"/>
                      <a:ext cx="5368290" cy="7642860"/>
                    </a:xfrm>
                    <a:prstGeom prst="rect">
                      <a:avLst/>
                    </a:prstGeom>
                    <a:noFill/>
                    <a:ln>
                      <a:noFill/>
                    </a:ln>
                  </pic:spPr>
                </pic:pic>
              </a:graphicData>
            </a:graphic>
          </wp:inline>
        </w:drawing>
      </w:r>
    </w:p>
    <w:p>
      <w:pPr>
        <w:widowControl/>
        <w:rPr>
          <w:rFonts w:hint="eastAsia"/>
        </w:rPr>
      </w:pPr>
    </w:p>
    <w:p>
      <w:pPr>
        <w:widowControl/>
        <w:rPr>
          <w:rFonts w:hint="eastAsia"/>
        </w:rPr>
      </w:pPr>
    </w:p>
    <w:p>
      <w:pPr>
        <w:widowControl/>
        <w:rPr>
          <w:rFonts w:hint="eastAsia"/>
        </w:rPr>
      </w:pPr>
    </w:p>
    <w:p>
      <w:pPr>
        <w:widowControl/>
        <w:rPr>
          <w:rFonts w:hint="eastAsia"/>
        </w:rPr>
      </w:pPr>
    </w:p>
    <w:p>
      <w:pPr>
        <w:widowControl/>
        <w:rPr>
          <w:rFonts w:hint="eastAsia"/>
        </w:rPr>
      </w:pPr>
    </w:p>
    <w:p>
      <w:pPr>
        <w:widowControl/>
        <w:rPr>
          <w:rFonts w:hint="eastAsia"/>
        </w:rPr>
      </w:pPr>
    </w:p>
    <w:p>
      <w:pPr>
        <w:widowControl/>
        <w:rPr>
          <w:rFonts w:hint="eastAsia"/>
        </w:rPr>
      </w:pPr>
    </w:p>
    <w:p>
      <w:pPr>
        <w:widowControl/>
        <w:jc w:val="center"/>
        <w:rPr>
          <w:rFonts w:hint="eastAsia"/>
        </w:rPr>
      </w:pPr>
      <w:r>
        <w:drawing>
          <wp:inline distT="0" distB="0" distL="114300" distR="114300">
            <wp:extent cx="5294630" cy="7548880"/>
            <wp:effectExtent l="0" t="0" r="1270" b="13970"/>
            <wp:docPr id="26" name="图片 10" descr="关于《绥化市永安灌区渠首枢纽泄洪闸除险加固工程初步设计报告》的批复(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关于《绥化市永安灌区渠首枢纽泄洪闸除险加固工程初步设计报告》的批复(1)_01"/>
                    <pic:cNvPicPr>
                      <a:picLocks noChangeAspect="1"/>
                    </pic:cNvPicPr>
                  </pic:nvPicPr>
                  <pic:blipFill>
                    <a:blip r:embed="rId16"/>
                    <a:stretch>
                      <a:fillRect/>
                    </a:stretch>
                  </pic:blipFill>
                  <pic:spPr>
                    <a:xfrm>
                      <a:off x="0" y="0"/>
                      <a:ext cx="5294630" cy="7548880"/>
                    </a:xfrm>
                    <a:prstGeom prst="rect">
                      <a:avLst/>
                    </a:prstGeom>
                    <a:noFill/>
                    <a:ln>
                      <a:noFill/>
                    </a:ln>
                  </pic:spPr>
                </pic:pic>
              </a:graphicData>
            </a:graphic>
          </wp:inline>
        </w:drawing>
      </w:r>
    </w:p>
    <w:p>
      <w:pPr>
        <w:widowControl/>
        <w:rPr>
          <w:rFonts w:hint="eastAsia"/>
        </w:rPr>
      </w:pPr>
    </w:p>
    <w:p>
      <w:pPr>
        <w:widowControl/>
        <w:rPr>
          <w:rFonts w:hint="eastAsia"/>
        </w:rPr>
      </w:pPr>
    </w:p>
    <w:p>
      <w:pPr>
        <w:widowControl/>
        <w:rPr>
          <w:rFonts w:hint="eastAsia"/>
        </w:rPr>
      </w:pPr>
    </w:p>
    <w:p>
      <w:pPr>
        <w:widowControl/>
        <w:rPr>
          <w:rFonts w:hint="eastAsia"/>
        </w:rPr>
      </w:pPr>
      <w:r>
        <w:drawing>
          <wp:inline distT="0" distB="0" distL="114300" distR="114300">
            <wp:extent cx="5294630" cy="7548880"/>
            <wp:effectExtent l="0" t="0" r="1270" b="13970"/>
            <wp:docPr id="23" name="图片 11" descr="关于《绥化市永安灌区渠首枢纽泄洪闸除险加固工程初步设计报告》的批复(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关于《绥化市永安灌区渠首枢纽泄洪闸除险加固工程初步设计报告》的批复(1)_02"/>
                    <pic:cNvPicPr>
                      <a:picLocks noChangeAspect="1"/>
                    </pic:cNvPicPr>
                  </pic:nvPicPr>
                  <pic:blipFill>
                    <a:blip r:embed="rId17"/>
                    <a:stretch>
                      <a:fillRect/>
                    </a:stretch>
                  </pic:blipFill>
                  <pic:spPr>
                    <a:xfrm>
                      <a:off x="0" y="0"/>
                      <a:ext cx="5294630" cy="7548880"/>
                    </a:xfrm>
                    <a:prstGeom prst="rect">
                      <a:avLst/>
                    </a:prstGeom>
                    <a:noFill/>
                    <a:ln>
                      <a:noFill/>
                    </a:ln>
                  </pic:spPr>
                </pic:pic>
              </a:graphicData>
            </a:graphic>
          </wp:inline>
        </w:drawing>
      </w:r>
    </w:p>
    <w:p>
      <w:pPr>
        <w:widowControl/>
        <w:rPr>
          <w:rFonts w:hint="eastAsia"/>
        </w:rPr>
      </w:pPr>
    </w:p>
    <w:p>
      <w:pPr>
        <w:widowControl/>
        <w:rPr>
          <w:rFonts w:hint="eastAsia"/>
        </w:rPr>
      </w:pPr>
    </w:p>
    <w:p>
      <w:pPr>
        <w:widowControl/>
        <w:rPr>
          <w:rFonts w:hint="eastAsia"/>
        </w:rPr>
      </w:pPr>
    </w:p>
    <w:p>
      <w:pPr>
        <w:widowControl/>
        <w:rPr>
          <w:rFonts w:hint="eastAsia"/>
        </w:rPr>
      </w:pPr>
      <w:r>
        <w:drawing>
          <wp:inline distT="0" distB="0" distL="114300" distR="114300">
            <wp:extent cx="5316855" cy="7579995"/>
            <wp:effectExtent l="0" t="0" r="17145" b="1905"/>
            <wp:docPr id="20" name="图片 12" descr="关于《绥化市永安灌区渠首枢纽泄洪闸除险加固工程初步设计报告》的批复(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关于《绥化市永安灌区渠首枢纽泄洪闸除险加固工程初步设计报告》的批复(1)_03"/>
                    <pic:cNvPicPr>
                      <a:picLocks noChangeAspect="1"/>
                    </pic:cNvPicPr>
                  </pic:nvPicPr>
                  <pic:blipFill>
                    <a:blip r:embed="rId18"/>
                    <a:stretch>
                      <a:fillRect/>
                    </a:stretch>
                  </pic:blipFill>
                  <pic:spPr>
                    <a:xfrm>
                      <a:off x="0" y="0"/>
                      <a:ext cx="5316855" cy="7579995"/>
                    </a:xfrm>
                    <a:prstGeom prst="rect">
                      <a:avLst/>
                    </a:prstGeom>
                    <a:noFill/>
                    <a:ln>
                      <a:noFill/>
                    </a:ln>
                  </pic:spPr>
                </pic:pic>
              </a:graphicData>
            </a:graphic>
          </wp:inline>
        </w:drawing>
      </w:r>
    </w:p>
    <w:p>
      <w:pPr>
        <w:widowControl/>
        <w:rPr>
          <w:rFonts w:hint="eastAsia"/>
        </w:rPr>
      </w:pPr>
    </w:p>
    <w:p>
      <w:pPr>
        <w:widowControl/>
        <w:rPr>
          <w:rFonts w:hint="eastAsia"/>
        </w:rPr>
      </w:pPr>
    </w:p>
    <w:p>
      <w:pPr>
        <w:widowControl/>
        <w:rPr>
          <w:rFonts w:hint="eastAsia"/>
        </w:rPr>
      </w:pPr>
    </w:p>
    <w:p>
      <w:pPr>
        <w:widowControl/>
        <w:rPr>
          <w:rFonts w:hint="eastAsia"/>
        </w:rPr>
      </w:pPr>
      <w:r>
        <w:drawing>
          <wp:inline distT="0" distB="0" distL="114300" distR="114300">
            <wp:extent cx="5309235" cy="7590790"/>
            <wp:effectExtent l="0" t="0" r="5715" b="10160"/>
            <wp:docPr id="24" name="图片 13" descr="关于《绥化市永安灌区渠首枢纽泄洪闸除险加固工程初步设计报告》的批复(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关于《绥化市永安灌区渠首枢纽泄洪闸除险加固工程初步设计报告》的批复(1)_04"/>
                    <pic:cNvPicPr>
                      <a:picLocks noChangeAspect="1"/>
                    </pic:cNvPicPr>
                  </pic:nvPicPr>
                  <pic:blipFill>
                    <a:blip r:embed="rId19"/>
                    <a:stretch>
                      <a:fillRect/>
                    </a:stretch>
                  </pic:blipFill>
                  <pic:spPr>
                    <a:xfrm>
                      <a:off x="0" y="0"/>
                      <a:ext cx="5309235" cy="7590790"/>
                    </a:xfrm>
                    <a:prstGeom prst="rect">
                      <a:avLst/>
                    </a:prstGeom>
                    <a:noFill/>
                    <a:ln>
                      <a:noFill/>
                    </a:ln>
                  </pic:spPr>
                </pic:pic>
              </a:graphicData>
            </a:graphic>
          </wp:inline>
        </w:drawing>
      </w:r>
    </w:p>
    <w:p>
      <w:pPr>
        <w:widowControl/>
        <w:rPr>
          <w:rFonts w:hint="eastAsia"/>
        </w:rPr>
      </w:pPr>
    </w:p>
    <w:p>
      <w:pPr>
        <w:widowControl/>
        <w:rPr>
          <w:rFonts w:hint="eastAsia"/>
        </w:rPr>
      </w:pPr>
    </w:p>
    <w:p>
      <w:pPr>
        <w:widowControl/>
        <w:rPr>
          <w:rFonts w:hint="eastAsia"/>
        </w:rPr>
      </w:pPr>
    </w:p>
    <w:p>
      <w:pPr>
        <w:widowControl/>
        <w:rPr>
          <w:rFonts w:hint="eastAsia"/>
        </w:rPr>
      </w:pPr>
      <w:r>
        <w:drawing>
          <wp:inline distT="0" distB="0" distL="114300" distR="114300">
            <wp:extent cx="5316855" cy="7569835"/>
            <wp:effectExtent l="0" t="0" r="17145" b="12065"/>
            <wp:docPr id="25" name="图片 14" descr="关于《绥化市永安灌区渠首枢纽泄洪闸除险加固工程初步设计报告》的批复(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关于《绥化市永安灌区渠首枢纽泄洪闸除险加固工程初步设计报告》的批复(1)_05"/>
                    <pic:cNvPicPr>
                      <a:picLocks noChangeAspect="1"/>
                    </pic:cNvPicPr>
                  </pic:nvPicPr>
                  <pic:blipFill>
                    <a:blip r:embed="rId20"/>
                    <a:stretch>
                      <a:fillRect/>
                    </a:stretch>
                  </pic:blipFill>
                  <pic:spPr>
                    <a:xfrm>
                      <a:off x="0" y="0"/>
                      <a:ext cx="5316855" cy="7569835"/>
                    </a:xfrm>
                    <a:prstGeom prst="rect">
                      <a:avLst/>
                    </a:prstGeom>
                    <a:noFill/>
                    <a:ln>
                      <a:noFill/>
                    </a:ln>
                  </pic:spPr>
                </pic:pic>
              </a:graphicData>
            </a:graphic>
          </wp:inline>
        </w:drawing>
      </w:r>
    </w:p>
    <w:p>
      <w:pPr>
        <w:widowControl/>
        <w:rPr>
          <w:rFonts w:hint="eastAsia"/>
        </w:rPr>
      </w:pPr>
    </w:p>
    <w:p>
      <w:pPr>
        <w:widowControl/>
        <w:rPr>
          <w:rFonts w:hint="eastAsia"/>
        </w:rPr>
      </w:pPr>
    </w:p>
    <w:p>
      <w:pPr>
        <w:widowControl/>
        <w:rPr>
          <w:rFonts w:hint="eastAsia"/>
        </w:rPr>
      </w:pPr>
    </w:p>
    <w:p>
      <w:pPr>
        <w:widowControl/>
        <w:rPr>
          <w:rFonts w:hint="eastAsia"/>
        </w:rPr>
      </w:pPr>
      <w:r>
        <w:drawing>
          <wp:inline distT="0" distB="0" distL="114300" distR="114300">
            <wp:extent cx="5294630" cy="7548880"/>
            <wp:effectExtent l="0" t="0" r="1270" b="13970"/>
            <wp:docPr id="21" name="图片 15" descr="关于《绥化市永安灌区渠首枢纽泄洪闸除险加固工程初步设计报告》的批复(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关于《绥化市永安灌区渠首枢纽泄洪闸除险加固工程初步设计报告》的批复(1)_06"/>
                    <pic:cNvPicPr>
                      <a:picLocks noChangeAspect="1"/>
                    </pic:cNvPicPr>
                  </pic:nvPicPr>
                  <pic:blipFill>
                    <a:blip r:embed="rId21"/>
                    <a:stretch>
                      <a:fillRect/>
                    </a:stretch>
                  </pic:blipFill>
                  <pic:spPr>
                    <a:xfrm>
                      <a:off x="0" y="0"/>
                      <a:ext cx="5294630" cy="7548880"/>
                    </a:xfrm>
                    <a:prstGeom prst="rect">
                      <a:avLst/>
                    </a:prstGeom>
                    <a:noFill/>
                    <a:ln>
                      <a:noFill/>
                    </a:ln>
                  </pic:spPr>
                </pic:pic>
              </a:graphicData>
            </a:graphic>
          </wp:inline>
        </w:drawing>
      </w: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widowControl/>
        <w:jc w:val="left"/>
        <w:rPr>
          <w:rFonts w:hint="eastAsia"/>
        </w:rPr>
      </w:pPr>
    </w:p>
    <w:p>
      <w:pPr>
        <w:widowControl/>
        <w:jc w:val="left"/>
        <w:sectPr>
          <w:pgSz w:w="11906" w:h="16838"/>
          <w:pgMar w:top="1440" w:right="1800" w:bottom="1440" w:left="1800" w:header="851" w:footer="1077" w:gutter="0"/>
          <w:cols w:space="720" w:num="1"/>
          <w:docGrid w:linePitch="312" w:charSpace="0"/>
        </w:sectPr>
      </w:pPr>
    </w:p>
    <w:p>
      <w:pPr>
        <w:pStyle w:val="12"/>
        <w:spacing w:line="240" w:lineRule="atLeast"/>
        <w:outlineLvl w:val="0"/>
        <w:rPr>
          <w:rFonts w:hint="eastAsia" w:ascii="黑体" w:hAnsi="黑体" w:eastAsia="黑体"/>
          <w:snapToGrid w:val="0"/>
          <w:sz w:val="28"/>
          <w:szCs w:val="28"/>
          <w:lang w:val="en-US" w:eastAsia="zh-CN"/>
        </w:rPr>
      </w:pPr>
      <w:r>
        <w:rPr>
          <w:rFonts w:hint="eastAsia" w:ascii="黑体" w:hAnsi="黑体" w:eastAsia="黑体"/>
          <w:snapToGrid w:val="0"/>
          <w:sz w:val="28"/>
          <w:szCs w:val="28"/>
        </w:rPr>
        <w:t>附图</w:t>
      </w:r>
      <w:bookmarkEnd w:id="3"/>
      <w:bookmarkEnd w:id="4"/>
      <w:r>
        <w:rPr>
          <w:rFonts w:hint="eastAsia" w:ascii="黑体" w:hAnsi="黑体" w:eastAsia="黑体"/>
          <w:snapToGrid w:val="0"/>
          <w:sz w:val="28"/>
          <w:szCs w:val="28"/>
          <w:lang w:val="en-US" w:eastAsia="zh-CN"/>
        </w:rPr>
        <w:t xml:space="preserve">  略</w:t>
      </w:r>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7"/>
      </w:rPr>
    </w:pPr>
    <w:r>
      <w:fldChar w:fldCharType="begin"/>
    </w:r>
    <w:r>
      <w:rPr>
        <w:rStyle w:val="17"/>
      </w:rPr>
      <w:instrText xml:space="preserve">PAGE  </w:instrText>
    </w:r>
    <w:r>
      <w:fldChar w:fldCharType="end"/>
    </w:r>
  </w:p>
  <w:p>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7"/>
      </w:rPr>
    </w:pPr>
    <w:r>
      <w:rPr>
        <w:rStyle w:val="17"/>
      </w:rPr>
      <w:fldChar w:fldCharType="begin"/>
    </w:r>
    <w:r>
      <w:rPr>
        <w:rStyle w:val="17"/>
      </w:rPr>
      <w:instrText xml:space="preserve">PAGE  </w:instrText>
    </w:r>
    <w:r>
      <w:rPr>
        <w:rStyle w:val="17"/>
      </w:rPr>
      <w:fldChar w:fldCharType="end"/>
    </w:r>
  </w:p>
  <w:p>
    <w:pPr>
      <w:pStyle w:val="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7"/>
        <w:rFonts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Style w:val="17"/>
        <w:rFonts w:ascii="宋体" w:hAnsi="宋体"/>
        <w:sz w:val="26"/>
        <w:szCs w:val="26"/>
      </w:rPr>
      <w:fldChar w:fldCharType="begin"/>
    </w:r>
    <w:r>
      <w:rPr>
        <w:rStyle w:val="17"/>
        <w:rFonts w:ascii="宋体" w:hAnsi="宋体"/>
        <w:sz w:val="26"/>
        <w:szCs w:val="26"/>
      </w:rPr>
      <w:instrText xml:space="preserve">PAGE  </w:instrText>
    </w:r>
    <w:r>
      <w:rPr>
        <w:rStyle w:val="17"/>
        <w:rFonts w:ascii="宋体" w:hAnsi="宋体"/>
        <w:sz w:val="26"/>
        <w:szCs w:val="26"/>
      </w:rPr>
      <w:fldChar w:fldCharType="separate"/>
    </w:r>
    <w:r>
      <w:rPr>
        <w:rStyle w:val="17"/>
        <w:rFonts w:ascii="宋体" w:hAnsi="宋体"/>
        <w:sz w:val="26"/>
        <w:szCs w:val="26"/>
      </w:rPr>
      <w:t>65</w:t>
    </w:r>
    <w:r>
      <w:rPr>
        <w:rStyle w:val="17"/>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p>
    <w:pPr>
      <w:pStyle w:val="9"/>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2M5YmFhY2RmZTY1ZDQ3ZTNhNGEzZTk4MzAzNjYifQ=="/>
  </w:docVars>
  <w:rsids>
    <w:rsidRoot w:val="6E67215C"/>
    <w:rsid w:val="00E91C84"/>
    <w:rsid w:val="00F873BA"/>
    <w:rsid w:val="086F132F"/>
    <w:rsid w:val="0C8D3605"/>
    <w:rsid w:val="12FE5D66"/>
    <w:rsid w:val="1BAB0AB9"/>
    <w:rsid w:val="29ED1A40"/>
    <w:rsid w:val="2C1F7576"/>
    <w:rsid w:val="30CF4042"/>
    <w:rsid w:val="385124FE"/>
    <w:rsid w:val="48A531C0"/>
    <w:rsid w:val="54F9222C"/>
    <w:rsid w:val="602A189C"/>
    <w:rsid w:val="622707E0"/>
    <w:rsid w:val="672D2CA8"/>
    <w:rsid w:val="6A654C95"/>
    <w:rsid w:val="6B4E238E"/>
    <w:rsid w:val="6E672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First Indent 2"/>
    <w:basedOn w:val="1"/>
    <w:qFormat/>
    <w:uiPriority w:val="0"/>
    <w:pPr>
      <w:adjustRightInd/>
      <w:spacing w:after="120" w:line="240" w:lineRule="auto"/>
      <w:ind w:left="420" w:leftChars="200" w:firstLine="420" w:firstLineChars="200"/>
    </w:pPr>
    <w:rPr>
      <w:rFonts w:ascii="Times New Roman" w:hAnsi="Times New Roman" w:eastAsia="宋体" w:cs="Times New Roman"/>
      <w:color w:val="auto"/>
      <w:sz w:val="21"/>
      <w:szCs w:val="21"/>
    </w:rPr>
  </w:style>
  <w:style w:type="paragraph" w:styleId="4">
    <w:name w:val="Normal Indent"/>
    <w:basedOn w:val="1"/>
    <w:qFormat/>
    <w:uiPriority w:val="0"/>
    <w:pPr>
      <w:ind w:firstLine="420"/>
    </w:pPr>
    <w:rPr>
      <w:rFonts w:ascii="宋体"/>
      <w:bCs/>
      <w:szCs w:val="20"/>
    </w:rPr>
  </w:style>
  <w:style w:type="paragraph" w:styleId="5">
    <w:name w:val="Body Text"/>
    <w:basedOn w:val="1"/>
    <w:qFormat/>
    <w:uiPriority w:val="0"/>
    <w:pPr>
      <w:widowControl/>
      <w:snapToGrid w:val="0"/>
      <w:spacing w:before="60" w:after="160" w:line="259" w:lineRule="auto"/>
      <w:ind w:right="113"/>
    </w:pPr>
    <w:rPr>
      <w:kern w:val="0"/>
      <w:sz w:val="18"/>
      <w:szCs w:val="18"/>
    </w:rPr>
  </w:style>
  <w:style w:type="paragraph" w:styleId="6">
    <w:name w:val="Body Text Indent"/>
    <w:basedOn w:val="1"/>
    <w:next w:val="7"/>
    <w:qFormat/>
    <w:uiPriority w:val="0"/>
    <w:pPr>
      <w:spacing w:after="120"/>
      <w:ind w:left="420" w:leftChars="200"/>
    </w:pPr>
    <w:rPr>
      <w:kern w:val="0"/>
      <w:sz w:val="24"/>
      <w:szCs w:val="20"/>
    </w:rPr>
  </w:style>
  <w:style w:type="paragraph" w:styleId="7">
    <w:name w:val="header"/>
    <w:basedOn w:val="1"/>
    <w:next w:val="8"/>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8">
    <w:name w:val="样式5"/>
    <w:basedOn w:val="1"/>
    <w:qFormat/>
    <w:uiPriority w:val="0"/>
    <w:pPr>
      <w:spacing w:before="0" w:after="0" w:line="380" w:lineRule="exact"/>
      <w:ind w:firstLine="566" w:firstLineChars="202"/>
    </w:pPr>
    <w:rPr>
      <w:rFonts w:eastAsia="华文行楷"/>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toc 1"/>
    <w:basedOn w:val="1"/>
    <w:next w:val="1"/>
    <w:qFormat/>
    <w:uiPriority w:val="39"/>
    <w:pPr>
      <w:tabs>
        <w:tab w:val="right" w:leader="dot" w:pos="8364"/>
      </w:tabs>
      <w:spacing w:before="120" w:after="120" w:line="520" w:lineRule="exact"/>
      <w:jc w:val="left"/>
    </w:pPr>
    <w:rPr>
      <w:rFonts w:ascii="仿宋_GB2312" w:eastAsia="仿宋_GB2312"/>
      <w:b/>
      <w:bCs/>
      <w:caps/>
      <w:kern w:val="44"/>
      <w:sz w:val="24"/>
    </w:rPr>
  </w:style>
  <w:style w:type="paragraph" w:styleId="11">
    <w:name w:val="toc 2"/>
    <w:basedOn w:val="1"/>
    <w:next w:val="1"/>
    <w:unhideWhenUsed/>
    <w:qFormat/>
    <w:uiPriority w:val="39"/>
    <w:pPr>
      <w:ind w:left="420" w:leftChars="200"/>
    </w:pPr>
  </w:style>
  <w:style w:type="paragraph" w:styleId="12">
    <w:name w:val="Normal (Web)"/>
    <w:basedOn w:val="1"/>
    <w:qFormat/>
    <w:uiPriority w:val="0"/>
    <w:pPr>
      <w:widowControl/>
      <w:spacing w:before="100" w:beforeAutospacing="1" w:after="100" w:afterAutospacing="1"/>
      <w:jc w:val="left"/>
    </w:pPr>
    <w:rPr>
      <w:rFonts w:ascii="宋体" w:hAnsi="宋体"/>
      <w:kern w:val="0"/>
      <w:sz w:val="24"/>
    </w:rPr>
  </w:style>
  <w:style w:type="paragraph" w:styleId="13">
    <w:name w:val="Body Text First Indent"/>
    <w:basedOn w:val="5"/>
    <w:next w:val="1"/>
    <w:qFormat/>
    <w:uiPriority w:val="0"/>
    <w:pPr>
      <w:spacing w:after="120"/>
      <w:ind w:firstLine="420" w:firstLineChars="100"/>
    </w:p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Hyperlink"/>
    <w:qFormat/>
    <w:uiPriority w:val="99"/>
    <w:rPr>
      <w:color w:val="0000FF"/>
      <w:u w:val="single"/>
    </w:rPr>
  </w:style>
  <w:style w:type="character" w:styleId="19">
    <w:name w:val="annotation reference"/>
    <w:basedOn w:val="16"/>
    <w:semiHidden/>
    <w:qFormat/>
    <w:uiPriority w:val="0"/>
    <w:rPr>
      <w:sz w:val="21"/>
    </w:rPr>
  </w:style>
  <w:style w:type="paragraph" w:customStyle="1" w:styleId="20">
    <w:name w:val="Normal (Web)1"/>
    <w:basedOn w:val="1"/>
    <w:next w:val="21"/>
    <w:qFormat/>
    <w:uiPriority w:val="0"/>
    <w:pPr>
      <w:widowControl/>
    </w:pPr>
    <w:rPr>
      <w:rFonts w:ascii="宋体"/>
      <w:sz w:val="24"/>
      <w:szCs w:val="21"/>
    </w:rPr>
  </w:style>
  <w:style w:type="paragraph" w:customStyle="1" w:styleId="21">
    <w:name w:val="Date1"/>
    <w:basedOn w:val="1"/>
    <w:next w:val="1"/>
    <w:qFormat/>
    <w:uiPriority w:val="0"/>
    <w:pPr>
      <w:ind w:left="2500" w:leftChars="2500"/>
    </w:pPr>
  </w:style>
  <w:style w:type="paragraph" w:customStyle="1" w:styleId="22">
    <w:name w:val="11111"/>
    <w:basedOn w:val="1"/>
    <w:next w:val="1"/>
    <w:qFormat/>
    <w:uiPriority w:val="0"/>
    <w:pPr>
      <w:spacing w:line="360" w:lineRule="auto"/>
      <w:ind w:firstLine="200" w:firstLineChars="200"/>
    </w:pPr>
    <w:rPr>
      <w:rFonts w:hAnsi="宋体" w:cs="宋体"/>
      <w:szCs w:val="24"/>
    </w:rPr>
  </w:style>
  <w:style w:type="paragraph" w:customStyle="1" w:styleId="23">
    <w:name w:val="- 页码 -"/>
    <w:qFormat/>
    <w:uiPriority w:val="0"/>
    <w:pPr>
      <w:widowControl w:val="0"/>
      <w:spacing w:line="360" w:lineRule="auto"/>
      <w:ind w:firstLine="200" w:firstLineChars="200"/>
      <w:jc w:val="both"/>
    </w:pPr>
    <w:rPr>
      <w:rFonts w:ascii="Calibri" w:hAnsi="Calibri" w:eastAsia="宋体" w:cs="Times New Roman"/>
      <w:kern w:val="2"/>
      <w:sz w:val="24"/>
      <w:lang w:val="en-US" w:eastAsia="zh-CN" w:bidi="ar-SA"/>
    </w:rPr>
  </w:style>
  <w:style w:type="paragraph" w:styleId="24">
    <w:name w:val="No Spacing"/>
    <w:next w:val="1"/>
    <w:qFormat/>
    <w:uiPriority w:val="0"/>
    <w:rPr>
      <w:rFonts w:ascii="Calibri" w:hAnsi="Calibri" w:eastAsia="宋体" w:cs="Times New Roman"/>
      <w:sz w:val="22"/>
      <w:szCs w:val="22"/>
      <w:lang w:val="en-US" w:eastAsia="zh-CN" w:bidi="ar-SA"/>
    </w:rPr>
  </w:style>
  <w:style w:type="paragraph" w:customStyle="1" w:styleId="25">
    <w:name w:val="样式"/>
    <w:basedOn w:val="1"/>
    <w:next w:val="1"/>
    <w:qFormat/>
    <w:uiPriority w:val="0"/>
    <w:pPr>
      <w:spacing w:line="360" w:lineRule="auto"/>
      <w:ind w:firstLine="482"/>
    </w:pPr>
    <w:rPr>
      <w:rFonts w:ascii="宋体" w:cs="宋体"/>
      <w:kern w:val="10"/>
      <w:sz w:val="28"/>
      <w:szCs w:val="20"/>
    </w:rPr>
  </w:style>
  <w:style w:type="paragraph" w:customStyle="1" w:styleId="26">
    <w:name w:val="表格内容"/>
    <w:basedOn w:val="1"/>
    <w:qFormat/>
    <w:uiPriority w:val="0"/>
    <w:rPr>
      <w:rFonts w:hAnsi="宋体"/>
      <w:sz w:val="28"/>
      <w:szCs w:val="28"/>
    </w:rPr>
  </w:style>
  <w:style w:type="paragraph" w:customStyle="1" w:styleId="27">
    <w:name w:val="正文21"/>
    <w:basedOn w:val="13"/>
    <w:qFormat/>
    <w:uiPriority w:val="0"/>
    <w:pPr>
      <w:adjustRightInd w:val="0"/>
      <w:spacing w:after="0" w:line="360" w:lineRule="auto"/>
      <w:ind w:firstLine="480" w:firstLineChars="200"/>
    </w:pPr>
    <w:rPr>
      <w:color w:val="7030A0"/>
      <w:sz w:val="24"/>
      <w:szCs w:val="22"/>
    </w:rPr>
  </w:style>
  <w:style w:type="paragraph" w:customStyle="1" w:styleId="28">
    <w:name w:val="表头"/>
    <w:basedOn w:val="1"/>
    <w:next w:val="1"/>
    <w:qFormat/>
    <w:uiPriority w:val="0"/>
    <w:pPr>
      <w:spacing w:line="360" w:lineRule="auto"/>
      <w:jc w:val="center"/>
    </w:pPr>
    <w:rPr>
      <w:rFonts w:eastAsia="黑体"/>
    </w:rPr>
  </w:style>
  <w:style w:type="paragraph" w:customStyle="1" w:styleId="29">
    <w:name w:val="表格"/>
    <w:basedOn w:val="1"/>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30">
    <w:name w:val="《正文》"/>
    <w:basedOn w:val="1"/>
    <w:qFormat/>
    <w:uiPriority w:val="0"/>
    <w:pPr>
      <w:spacing w:line="360" w:lineRule="auto"/>
      <w:ind w:firstLine="200" w:firstLineChars="200"/>
    </w:pPr>
    <w:rPr>
      <w:sz w:val="24"/>
    </w:rPr>
  </w:style>
  <w:style w:type="paragraph" w:customStyle="1" w:styleId="31">
    <w:name w:val="【表头】"/>
    <w:basedOn w:val="1"/>
    <w:qFormat/>
    <w:uiPriority w:val="0"/>
    <w:pPr>
      <w:adjustRightInd w:val="0"/>
      <w:snapToGrid w:val="0"/>
      <w:spacing w:line="500" w:lineRule="exact"/>
      <w:ind w:firstLine="0" w:firstLineChars="0"/>
      <w:jc w:val="center"/>
    </w:pPr>
    <w:rPr>
      <w:rFonts w:eastAsia="黑体"/>
      <w:kern w:val="0"/>
      <w:szCs w:val="20"/>
    </w:rPr>
  </w:style>
  <w:style w:type="paragraph" w:styleId="32">
    <w:name w:val="List Paragraph"/>
    <w:basedOn w:val="1"/>
    <w:qFormat/>
    <w:uiPriority w:val="34"/>
    <w:pPr>
      <w:ind w:firstLine="420" w:firstLineChars="200"/>
    </w:pPr>
  </w:style>
  <w:style w:type="paragraph" w:customStyle="1" w:styleId="33">
    <w:name w:val="内容"/>
    <w:basedOn w:val="1"/>
    <w:qFormat/>
    <w:uiPriority w:val="0"/>
    <w:pPr>
      <w:spacing w:beforeLines="50" w:afterLines="50"/>
      <w:ind w:firstLine="200" w:firstLineChars="200"/>
    </w:pPr>
    <w:rPr>
      <w:color w:val="000000"/>
      <w:sz w:val="24"/>
    </w:rPr>
  </w:style>
  <w:style w:type="paragraph" w:customStyle="1" w:styleId="34">
    <w:name w:val="Char Char Char Char Char Char Char2"/>
    <w:basedOn w:val="1"/>
    <w:qFormat/>
    <w:uiPriority w:val="0"/>
    <w:pPr>
      <w:snapToGrid w:val="0"/>
      <w:spacing w:line="360" w:lineRule="auto"/>
      <w:ind w:firstLine="529" w:firstLineChars="200"/>
    </w:pPr>
  </w:style>
  <w:style w:type="paragraph" w:customStyle="1" w:styleId="35">
    <w:name w:val="C首行缩进正文"/>
    <w:basedOn w:val="1"/>
    <w:qFormat/>
    <w:uiPriority w:val="0"/>
    <w:pPr>
      <w:spacing w:line="360" w:lineRule="auto"/>
      <w:ind w:firstLine="200" w:firstLineChars="200"/>
    </w:pPr>
    <w:rPr>
      <w:color w:val="000000"/>
      <w:kern w:val="0"/>
    </w:rPr>
  </w:style>
  <w:style w:type="paragraph" w:customStyle="1" w:styleId="36">
    <w:name w:val="表格题目"/>
    <w:basedOn w:val="1"/>
    <w:qFormat/>
    <w:uiPriority w:val="0"/>
    <w:pPr>
      <w:spacing w:line="240" w:lineRule="atLeast"/>
      <w:jc w:val="center"/>
    </w:pPr>
    <w:rPr>
      <w:rFonts w:ascii="黑体" w:hAnsi="宋体" w:eastAsia="黑体"/>
      <w:sz w:val="24"/>
    </w:rPr>
  </w:style>
  <w:style w:type="paragraph" w:customStyle="1" w:styleId="37">
    <w:name w:val="【表中文字】"/>
    <w:basedOn w:val="1"/>
    <w:qFormat/>
    <w:uiPriority w:val="0"/>
    <w:pPr>
      <w:jc w:val="center"/>
    </w:pPr>
    <w:rPr>
      <w:rFonts w:eastAsia="仿宋"/>
      <w:kern w:val="0"/>
      <w:szCs w:val="20"/>
    </w:rPr>
  </w:style>
  <w:style w:type="paragraph" w:customStyle="1" w:styleId="38">
    <w:name w:val="C【表中文字】-"/>
    <w:basedOn w:val="1"/>
    <w:qFormat/>
    <w:uiPriority w:val="0"/>
    <w:pPr>
      <w:adjustRightInd w:val="0"/>
      <w:snapToGrid w:val="0"/>
      <w:jc w:val="center"/>
    </w:pPr>
    <w:rPr>
      <w:kern w:val="0"/>
      <w:sz w:val="18"/>
      <w:szCs w:val="20"/>
    </w:rPr>
  </w:style>
  <w:style w:type="paragraph" w:customStyle="1" w:styleId="39">
    <w:name w:val="无间隔1"/>
    <w:qFormat/>
    <w:uiPriority w:val="0"/>
    <w:pPr>
      <w:widowControl w:val="0"/>
      <w:adjustRightInd w:val="0"/>
      <w:snapToGrid w:val="0"/>
      <w:jc w:val="center"/>
    </w:pPr>
    <w:rPr>
      <w:rFonts w:ascii="Times New Roman" w:hAnsi="Times New Roman" w:eastAsia="宋体" w:cs="Times New Roman"/>
      <w:bCs/>
      <w:kern w:val="2"/>
      <w:sz w:val="21"/>
      <w:szCs w:val="28"/>
      <w:lang w:val="en-US" w:eastAsia="zh-CN" w:bidi="ar-SA"/>
    </w:rPr>
  </w:style>
  <w:style w:type="paragraph" w:customStyle="1" w:styleId="40">
    <w:name w:val="样式1"/>
    <w:basedOn w:val="1"/>
    <w:qFormat/>
    <w:uiPriority w:val="0"/>
    <w:pPr>
      <w:spacing w:line="360" w:lineRule="auto"/>
      <w:ind w:firstLine="200" w:firstLineChars="200"/>
    </w:pPr>
    <w:rPr>
      <w:rFonts w:ascii="宋体" w:hAnsi="宋体"/>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2024-02-07T23:42:00Z</dcterms:created>
  <dc:creator>Administrator</dc:creator>
  <cp:lastModifiedBy>兴奋的煤气罐</cp:lastModifiedBy>
  <dcterms:modified xsi:type="dcterms:W3CDTF">2024-03-18T06:11:15Z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B502F6B1B07F4589867F7CD7845020CA_11</vt:lpwstr>
  </property>
</Properties>
</file>