
<file path=[Content_Types].xml><?xml version="1.0" encoding="utf-8"?>
<Types xmlns="http://schemas.openxmlformats.org/package/2006/content-types">
  <Default Extension="xml" ContentType="application/xml"/>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color w:val="auto"/>
          <w:sz w:val="36"/>
          <w:szCs w:val="36"/>
        </w:rPr>
      </w:pPr>
      <w:r>
        <w:rPr>
          <w:rFonts w:hint="eastAsia" w:ascii="方正小标宋简体" w:hAnsi="方正小标宋简体" w:eastAsia="方正小标宋简体" w:cs="方正小标宋简体"/>
          <w:b/>
          <w:bCs/>
          <w:color w:val="auto"/>
          <w:sz w:val="36"/>
          <w:szCs w:val="36"/>
        </w:rPr>
        <w:t>绥化市北林生态环境局关于秸秆综合利用生物质锅炉</w:t>
      </w:r>
    </w:p>
    <w:p>
      <w:pPr>
        <w:jc w:val="center"/>
        <w:rPr>
          <w:rFonts w:hint="eastAsia" w:ascii="方正小标宋简体" w:hAnsi="方正小标宋简体" w:eastAsia="方正小标宋简体" w:cs="方正小标宋简体"/>
          <w:b/>
          <w:bCs/>
          <w:color w:val="auto"/>
          <w:sz w:val="36"/>
          <w:szCs w:val="36"/>
        </w:rPr>
      </w:pPr>
      <w:r>
        <w:rPr>
          <w:rFonts w:hint="eastAsia" w:ascii="方正小标宋简体" w:hAnsi="方正小标宋简体" w:eastAsia="方正小标宋简体" w:cs="方正小标宋简体"/>
          <w:b/>
          <w:bCs/>
          <w:color w:val="auto"/>
          <w:sz w:val="36"/>
          <w:szCs w:val="36"/>
        </w:rPr>
        <w:t>绥化市和美物业管理有限公司直燃锅炉实际利用</w:t>
      </w:r>
    </w:p>
    <w:p>
      <w:pPr>
        <w:jc w:val="center"/>
        <w:rPr>
          <w:rFonts w:hint="eastAsia" w:ascii="方正小标宋简体" w:hAnsi="方正小标宋简体" w:eastAsia="方正小标宋简体" w:cs="方正小标宋简体"/>
          <w:b/>
          <w:bCs/>
          <w:color w:val="auto"/>
          <w:sz w:val="36"/>
          <w:szCs w:val="36"/>
        </w:rPr>
      </w:pPr>
      <w:r>
        <w:rPr>
          <w:rFonts w:hint="eastAsia" w:ascii="方正小标宋简体" w:hAnsi="方正小标宋简体" w:eastAsia="方正小标宋简体" w:cs="方正小标宋简体"/>
          <w:b/>
          <w:bCs/>
          <w:color w:val="auto"/>
          <w:sz w:val="36"/>
          <w:szCs w:val="36"/>
        </w:rPr>
        <w:t>项目环境影响评价文件受理情况的公示</w:t>
      </w:r>
    </w:p>
    <w:p>
      <w:pPr>
        <w:jc w:val="center"/>
        <w:rPr>
          <w:rFonts w:hint="eastAsia" w:ascii="方正小标宋简体" w:hAnsi="方正小标宋简体" w:eastAsia="方正小标宋简体" w:cs="方正小标宋简体"/>
          <w:b/>
          <w:bCs/>
          <w:color w:val="auto"/>
          <w:sz w:val="36"/>
          <w:szCs w:val="36"/>
        </w:rPr>
      </w:pPr>
    </w:p>
    <w:p>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    根据建设项目环境影响评价审批程序的有关规定，202</w:t>
      </w:r>
      <w:r>
        <w:rPr>
          <w:rFonts w:hint="eastAsia" w:ascii="宋体" w:hAnsi="宋体" w:eastAsia="宋体" w:cs="宋体"/>
          <w:color w:val="auto"/>
          <w:sz w:val="32"/>
          <w:szCs w:val="32"/>
          <w:lang w:val="en-US" w:eastAsia="zh-CN"/>
        </w:rPr>
        <w:t>4</w:t>
      </w:r>
      <w:r>
        <w:rPr>
          <w:rFonts w:hint="eastAsia" w:ascii="宋体" w:hAnsi="宋体" w:eastAsia="宋体" w:cs="宋体"/>
          <w:color w:val="auto"/>
          <w:sz w:val="32"/>
          <w:szCs w:val="32"/>
        </w:rPr>
        <w:t>年</w:t>
      </w:r>
      <w:r>
        <w:rPr>
          <w:rFonts w:hint="eastAsia" w:ascii="宋体" w:hAnsi="宋体" w:cs="宋体"/>
          <w:color w:val="auto"/>
          <w:sz w:val="32"/>
          <w:szCs w:val="32"/>
          <w:lang w:val="en-US" w:eastAsia="zh-CN"/>
        </w:rPr>
        <w:t>3</w:t>
      </w:r>
      <w:r>
        <w:rPr>
          <w:rFonts w:hint="eastAsia" w:ascii="宋体" w:hAnsi="宋体" w:eastAsia="宋体" w:cs="宋体"/>
          <w:color w:val="auto"/>
          <w:sz w:val="32"/>
          <w:szCs w:val="32"/>
        </w:rPr>
        <w:t>月</w:t>
      </w:r>
      <w:r>
        <w:rPr>
          <w:rFonts w:hint="eastAsia" w:ascii="宋体" w:hAnsi="宋体" w:cs="宋体"/>
          <w:color w:val="auto"/>
          <w:sz w:val="32"/>
          <w:szCs w:val="32"/>
          <w:lang w:val="en-US" w:eastAsia="zh-CN"/>
        </w:rPr>
        <w:t>15</w:t>
      </w:r>
      <w:r>
        <w:rPr>
          <w:rFonts w:hint="eastAsia" w:ascii="宋体" w:hAnsi="宋体" w:eastAsia="宋体" w:cs="宋体"/>
          <w:color w:val="auto"/>
          <w:sz w:val="32"/>
          <w:szCs w:val="32"/>
        </w:rPr>
        <w:t>日我局环评组受理秸秆综合利用生物质锅炉绥化市和美物业管理有限公司直燃锅炉实际利用项目环境影响评价文件。现将受理情况予以公示，公示日期为202</w:t>
      </w:r>
      <w:r>
        <w:rPr>
          <w:rFonts w:hint="eastAsia" w:ascii="宋体" w:hAnsi="宋体" w:eastAsia="宋体" w:cs="宋体"/>
          <w:color w:val="auto"/>
          <w:sz w:val="32"/>
          <w:szCs w:val="32"/>
          <w:lang w:val="en-US" w:eastAsia="zh-CN"/>
        </w:rPr>
        <w:t>4</w:t>
      </w:r>
      <w:r>
        <w:rPr>
          <w:rFonts w:hint="eastAsia" w:ascii="宋体" w:hAnsi="宋体" w:eastAsia="宋体" w:cs="宋体"/>
          <w:color w:val="auto"/>
          <w:sz w:val="32"/>
          <w:szCs w:val="32"/>
        </w:rPr>
        <w:t>年</w:t>
      </w:r>
      <w:r>
        <w:rPr>
          <w:rFonts w:hint="eastAsia" w:ascii="宋体" w:hAnsi="宋体" w:cs="宋体"/>
          <w:color w:val="auto"/>
          <w:sz w:val="32"/>
          <w:szCs w:val="32"/>
          <w:lang w:val="en-US" w:eastAsia="zh-CN"/>
        </w:rPr>
        <w:t>3</w:t>
      </w:r>
      <w:r>
        <w:rPr>
          <w:rFonts w:hint="eastAsia" w:ascii="宋体" w:hAnsi="宋体" w:eastAsia="宋体" w:cs="宋体"/>
          <w:color w:val="auto"/>
          <w:sz w:val="32"/>
          <w:szCs w:val="32"/>
        </w:rPr>
        <w:t>月</w:t>
      </w:r>
      <w:r>
        <w:rPr>
          <w:rFonts w:hint="eastAsia" w:ascii="宋体" w:hAnsi="宋体" w:cs="宋体"/>
          <w:color w:val="auto"/>
          <w:sz w:val="32"/>
          <w:szCs w:val="32"/>
          <w:lang w:val="en-US" w:eastAsia="zh-CN"/>
        </w:rPr>
        <w:t>15</w:t>
      </w:r>
      <w:r>
        <w:rPr>
          <w:rFonts w:hint="eastAsia" w:ascii="宋体" w:hAnsi="宋体" w:eastAsia="宋体" w:cs="宋体"/>
          <w:color w:val="auto"/>
          <w:sz w:val="32"/>
          <w:szCs w:val="32"/>
        </w:rPr>
        <w:t>日—202</w:t>
      </w:r>
      <w:r>
        <w:rPr>
          <w:rFonts w:hint="eastAsia" w:ascii="宋体" w:hAnsi="宋体" w:eastAsia="宋体" w:cs="宋体"/>
          <w:color w:val="auto"/>
          <w:sz w:val="32"/>
          <w:szCs w:val="32"/>
          <w:lang w:val="en-US" w:eastAsia="zh-CN"/>
        </w:rPr>
        <w:t>4</w:t>
      </w:r>
      <w:r>
        <w:rPr>
          <w:rFonts w:hint="eastAsia" w:ascii="宋体" w:hAnsi="宋体" w:eastAsia="宋体" w:cs="宋体"/>
          <w:color w:val="auto"/>
          <w:sz w:val="32"/>
          <w:szCs w:val="32"/>
        </w:rPr>
        <w:t>年</w:t>
      </w:r>
      <w:r>
        <w:rPr>
          <w:rFonts w:hint="eastAsia" w:ascii="宋体" w:hAnsi="宋体" w:cs="宋体"/>
          <w:color w:val="auto"/>
          <w:sz w:val="32"/>
          <w:szCs w:val="32"/>
          <w:lang w:val="en-US" w:eastAsia="zh-CN"/>
        </w:rPr>
        <w:t>3</w:t>
      </w:r>
      <w:r>
        <w:rPr>
          <w:rFonts w:hint="eastAsia" w:ascii="宋体" w:hAnsi="宋体" w:eastAsia="宋体" w:cs="宋体"/>
          <w:color w:val="auto"/>
          <w:sz w:val="32"/>
          <w:szCs w:val="32"/>
        </w:rPr>
        <w:t>月</w:t>
      </w:r>
      <w:r>
        <w:rPr>
          <w:rFonts w:hint="eastAsia" w:ascii="宋体" w:hAnsi="宋体" w:eastAsia="宋体" w:cs="宋体"/>
          <w:color w:val="auto"/>
          <w:sz w:val="32"/>
          <w:szCs w:val="32"/>
          <w:lang w:val="en-US" w:eastAsia="zh-CN"/>
        </w:rPr>
        <w:t>2</w:t>
      </w:r>
      <w:r>
        <w:rPr>
          <w:rFonts w:hint="eastAsia" w:ascii="宋体" w:hAnsi="宋体" w:cs="宋体"/>
          <w:color w:val="auto"/>
          <w:sz w:val="32"/>
          <w:szCs w:val="32"/>
          <w:lang w:val="en-US" w:eastAsia="zh-CN"/>
        </w:rPr>
        <w:t>1</w:t>
      </w:r>
      <w:r>
        <w:rPr>
          <w:rFonts w:hint="eastAsia" w:ascii="宋体" w:hAnsi="宋体" w:eastAsia="宋体" w:cs="宋体"/>
          <w:color w:val="auto"/>
          <w:sz w:val="32"/>
          <w:szCs w:val="32"/>
        </w:rPr>
        <w:t>日（5个工作日）。</w:t>
      </w:r>
    </w:p>
    <w:p>
      <w:pPr>
        <w:ind w:firstLine="223"/>
        <w:jc w:val="left"/>
        <w:rPr>
          <w:rFonts w:hint="eastAsia" w:ascii="宋体" w:hAnsi="宋体" w:eastAsia="宋体" w:cs="宋体"/>
          <w:color w:val="auto"/>
          <w:sz w:val="32"/>
          <w:szCs w:val="32"/>
        </w:rPr>
      </w:pPr>
      <w:r>
        <w:rPr>
          <w:rFonts w:hint="eastAsia" w:ascii="宋体" w:hAnsi="宋体" w:eastAsia="宋体" w:cs="宋体"/>
          <w:color w:val="auto"/>
          <w:sz w:val="32"/>
          <w:szCs w:val="32"/>
        </w:rPr>
        <w:t xml:space="preserve">  联系电话：0455--8316406</w:t>
      </w:r>
    </w:p>
    <w:p>
      <w:pPr>
        <w:ind w:firstLine="223"/>
        <w:jc w:val="left"/>
        <w:rPr>
          <w:rFonts w:hint="eastAsia" w:ascii="宋体" w:hAnsi="宋体" w:eastAsia="宋体" w:cs="宋体"/>
          <w:color w:val="auto"/>
          <w:sz w:val="32"/>
          <w:szCs w:val="32"/>
        </w:rPr>
      </w:pPr>
      <w:r>
        <w:rPr>
          <w:rFonts w:hint="eastAsia" w:ascii="宋体" w:hAnsi="宋体" w:eastAsia="宋体" w:cs="宋体"/>
          <w:color w:val="auto"/>
          <w:sz w:val="32"/>
          <w:szCs w:val="32"/>
        </w:rPr>
        <w:t xml:space="preserve">  通讯地址：黑龙江省绥化市北林区政府院内北林生态环境局</w:t>
      </w:r>
    </w:p>
    <w:p>
      <w:pPr>
        <w:ind w:firstLine="223"/>
        <w:jc w:val="left"/>
        <w:rPr>
          <w:rFonts w:hint="eastAsia" w:ascii="宋体" w:hAnsi="宋体" w:eastAsia="宋体" w:cs="宋体"/>
          <w:color w:val="auto"/>
          <w:sz w:val="32"/>
          <w:szCs w:val="32"/>
        </w:rPr>
      </w:pPr>
      <w:r>
        <w:rPr>
          <w:rFonts w:hint="eastAsia" w:ascii="宋体" w:hAnsi="宋体" w:eastAsia="宋体" w:cs="宋体"/>
          <w:color w:val="auto"/>
          <w:sz w:val="32"/>
          <w:szCs w:val="32"/>
        </w:rPr>
        <w:t xml:space="preserve">  邮编：152000</w:t>
      </w:r>
    </w:p>
    <w:tbl>
      <w:tblPr>
        <w:tblStyle w:val="1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1417"/>
        <w:gridCol w:w="1377"/>
        <w:gridCol w:w="2191"/>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675" w:type="dxa"/>
            <w:noWrap w:val="0"/>
            <w:vAlign w:val="center"/>
          </w:tcPr>
          <w:p>
            <w:pPr>
              <w:jc w:val="center"/>
              <w:rPr>
                <w:rFonts w:hint="eastAsia"/>
                <w:color w:val="auto"/>
                <w:sz w:val="32"/>
                <w:szCs w:val="32"/>
              </w:rPr>
            </w:pPr>
            <w:r>
              <w:rPr>
                <w:rFonts w:hint="eastAsia"/>
                <w:color w:val="auto"/>
                <w:sz w:val="32"/>
                <w:szCs w:val="32"/>
              </w:rPr>
              <w:t>序</w:t>
            </w:r>
          </w:p>
          <w:p>
            <w:pPr>
              <w:jc w:val="center"/>
              <w:rPr>
                <w:rFonts w:hint="eastAsia"/>
                <w:color w:val="auto"/>
                <w:sz w:val="32"/>
                <w:szCs w:val="32"/>
              </w:rPr>
            </w:pPr>
            <w:r>
              <w:rPr>
                <w:rFonts w:hint="eastAsia"/>
                <w:color w:val="auto"/>
                <w:sz w:val="32"/>
                <w:szCs w:val="32"/>
              </w:rPr>
              <w:t>号</w:t>
            </w:r>
          </w:p>
        </w:tc>
        <w:tc>
          <w:tcPr>
            <w:tcW w:w="2127" w:type="dxa"/>
            <w:noWrap w:val="0"/>
            <w:vAlign w:val="center"/>
          </w:tcPr>
          <w:p>
            <w:pPr>
              <w:jc w:val="center"/>
              <w:rPr>
                <w:rFonts w:hint="eastAsia"/>
                <w:color w:val="auto"/>
                <w:sz w:val="32"/>
                <w:szCs w:val="32"/>
              </w:rPr>
            </w:pPr>
            <w:r>
              <w:rPr>
                <w:rFonts w:hint="eastAsia"/>
                <w:color w:val="auto"/>
                <w:sz w:val="32"/>
                <w:szCs w:val="32"/>
              </w:rPr>
              <w:t>项目名称</w:t>
            </w:r>
          </w:p>
        </w:tc>
        <w:tc>
          <w:tcPr>
            <w:tcW w:w="1417" w:type="dxa"/>
            <w:noWrap w:val="0"/>
            <w:vAlign w:val="center"/>
          </w:tcPr>
          <w:p>
            <w:pPr>
              <w:jc w:val="center"/>
              <w:rPr>
                <w:rFonts w:hint="eastAsia"/>
                <w:color w:val="auto"/>
                <w:sz w:val="32"/>
                <w:szCs w:val="32"/>
              </w:rPr>
            </w:pPr>
            <w:r>
              <w:rPr>
                <w:rFonts w:hint="eastAsia"/>
                <w:color w:val="auto"/>
                <w:sz w:val="32"/>
                <w:szCs w:val="32"/>
              </w:rPr>
              <w:t>建设</w:t>
            </w:r>
          </w:p>
          <w:p>
            <w:pPr>
              <w:jc w:val="center"/>
              <w:rPr>
                <w:rFonts w:hint="eastAsia"/>
                <w:color w:val="auto"/>
                <w:sz w:val="32"/>
                <w:szCs w:val="32"/>
              </w:rPr>
            </w:pPr>
            <w:r>
              <w:rPr>
                <w:rFonts w:hint="eastAsia"/>
                <w:color w:val="auto"/>
                <w:sz w:val="32"/>
                <w:szCs w:val="32"/>
              </w:rPr>
              <w:t>地点</w:t>
            </w:r>
          </w:p>
        </w:tc>
        <w:tc>
          <w:tcPr>
            <w:tcW w:w="1377" w:type="dxa"/>
            <w:noWrap w:val="0"/>
            <w:vAlign w:val="center"/>
          </w:tcPr>
          <w:p>
            <w:pPr>
              <w:jc w:val="center"/>
              <w:rPr>
                <w:rFonts w:hint="eastAsia"/>
                <w:color w:val="auto"/>
                <w:sz w:val="32"/>
                <w:szCs w:val="32"/>
              </w:rPr>
            </w:pPr>
            <w:r>
              <w:rPr>
                <w:rFonts w:hint="eastAsia"/>
                <w:color w:val="auto"/>
                <w:sz w:val="32"/>
                <w:szCs w:val="32"/>
              </w:rPr>
              <w:t>建设</w:t>
            </w:r>
          </w:p>
          <w:p>
            <w:pPr>
              <w:jc w:val="center"/>
              <w:rPr>
                <w:rFonts w:hint="eastAsia"/>
                <w:color w:val="auto"/>
                <w:sz w:val="32"/>
                <w:szCs w:val="32"/>
              </w:rPr>
            </w:pPr>
            <w:r>
              <w:rPr>
                <w:rFonts w:hint="eastAsia"/>
                <w:color w:val="auto"/>
                <w:sz w:val="32"/>
                <w:szCs w:val="32"/>
              </w:rPr>
              <w:t>单位</w:t>
            </w:r>
          </w:p>
        </w:tc>
        <w:tc>
          <w:tcPr>
            <w:tcW w:w="2191" w:type="dxa"/>
            <w:noWrap w:val="0"/>
            <w:vAlign w:val="center"/>
          </w:tcPr>
          <w:p>
            <w:pPr>
              <w:widowControl/>
              <w:spacing w:line="330" w:lineRule="atLeast"/>
              <w:jc w:val="center"/>
              <w:rPr>
                <w:rFonts w:hint="eastAsia"/>
                <w:color w:val="auto"/>
                <w:sz w:val="32"/>
                <w:szCs w:val="32"/>
              </w:rPr>
            </w:pPr>
            <w:r>
              <w:rPr>
                <w:rFonts w:hint="eastAsia"/>
                <w:color w:val="auto"/>
                <w:sz w:val="32"/>
                <w:szCs w:val="32"/>
              </w:rPr>
              <w:t>环境影响</w:t>
            </w:r>
          </w:p>
          <w:p>
            <w:pPr>
              <w:widowControl/>
              <w:spacing w:line="330" w:lineRule="atLeast"/>
              <w:jc w:val="center"/>
              <w:rPr>
                <w:rFonts w:hint="eastAsia"/>
                <w:color w:val="auto"/>
                <w:sz w:val="32"/>
                <w:szCs w:val="32"/>
              </w:rPr>
            </w:pPr>
            <w:r>
              <w:rPr>
                <w:rFonts w:hint="eastAsia"/>
                <w:color w:val="auto"/>
                <w:sz w:val="32"/>
                <w:szCs w:val="32"/>
              </w:rPr>
              <w:t>评价机构</w:t>
            </w:r>
          </w:p>
        </w:tc>
        <w:tc>
          <w:tcPr>
            <w:tcW w:w="1535" w:type="dxa"/>
            <w:noWrap w:val="0"/>
            <w:vAlign w:val="center"/>
          </w:tcPr>
          <w:p>
            <w:pPr>
              <w:jc w:val="center"/>
              <w:rPr>
                <w:rFonts w:hint="eastAsia"/>
                <w:color w:val="auto"/>
                <w:sz w:val="32"/>
                <w:szCs w:val="32"/>
              </w:rPr>
            </w:pPr>
            <w:r>
              <w:rPr>
                <w:rFonts w:hint="eastAsia"/>
                <w:color w:val="auto"/>
                <w:sz w:val="32"/>
                <w:szCs w:val="32"/>
              </w:rPr>
              <w:t>受理日期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675" w:type="dxa"/>
            <w:noWrap w:val="0"/>
            <w:vAlign w:val="center"/>
          </w:tcPr>
          <w:p>
            <w:pPr>
              <w:jc w:val="center"/>
              <w:rPr>
                <w:rFonts w:hint="eastAsia"/>
                <w:color w:val="auto"/>
                <w:sz w:val="32"/>
                <w:szCs w:val="32"/>
              </w:rPr>
            </w:pPr>
            <w:r>
              <w:rPr>
                <w:rFonts w:hint="eastAsia" w:ascii="Times New Roman" w:hAnsi="Times New Roman" w:eastAsia="宋体" w:cs="Times New Roman"/>
                <w:color w:val="auto"/>
                <w:szCs w:val="21"/>
                <w:highlight w:val="none"/>
                <w:lang w:val="en-US" w:eastAsia="zh-CN"/>
              </w:rPr>
              <w:t>1</w:t>
            </w:r>
          </w:p>
        </w:tc>
        <w:tc>
          <w:tcPr>
            <w:tcW w:w="2127" w:type="dxa"/>
            <w:noWrap w:val="0"/>
            <w:vAlign w:val="center"/>
          </w:tcPr>
          <w:p>
            <w:pPr>
              <w:ind w:firstLine="120" w:firstLineChars="50"/>
              <w:rPr>
                <w:rFonts w:hint="eastAsia" w:ascii="Calibri" w:hAnsi="Calibri" w:eastAsia="宋体" w:cs="Times New Roman"/>
                <w:color w:val="auto"/>
                <w:sz w:val="24"/>
                <w:highlight w:val="none"/>
                <w:lang w:val="en-US" w:eastAsia="zh-CN"/>
              </w:rPr>
            </w:pPr>
            <w:r>
              <w:rPr>
                <w:rFonts w:hint="eastAsia"/>
                <w:color w:val="auto"/>
                <w:sz w:val="24"/>
              </w:rPr>
              <w:t>秸秆综合利用生物质锅炉绥化市和美物业管理有限公司直燃锅炉实际利用项目</w:t>
            </w:r>
          </w:p>
        </w:tc>
        <w:tc>
          <w:tcPr>
            <w:tcW w:w="1417" w:type="dxa"/>
            <w:noWrap w:val="0"/>
            <w:vAlign w:val="center"/>
          </w:tcPr>
          <w:p>
            <w:pPr>
              <w:ind w:firstLine="105" w:firstLineChars="50"/>
              <w:rPr>
                <w:rFonts w:hint="eastAsia" w:ascii="Calibri" w:hAnsi="Calibri" w:eastAsia="宋体" w:cs="Times New Roman"/>
                <w:color w:val="auto"/>
                <w:sz w:val="24"/>
                <w:highlight w:val="none"/>
                <w:lang w:val="en-US" w:eastAsia="zh-CN"/>
              </w:rPr>
            </w:pPr>
            <w:r>
              <w:rPr>
                <w:rFonts w:eastAsia="宋体"/>
                <w:color w:val="auto"/>
                <w:szCs w:val="21"/>
                <w:highlight w:val="none"/>
              </w:rPr>
              <w:t>黑龙江省</w:t>
            </w:r>
            <w:r>
              <w:rPr>
                <w:rFonts w:hint="eastAsia" w:eastAsia="宋体"/>
                <w:color w:val="auto"/>
                <w:szCs w:val="21"/>
                <w:highlight w:val="none"/>
                <w:lang w:val="en-US" w:eastAsia="zh-CN"/>
              </w:rPr>
              <w:t>绥化</w:t>
            </w:r>
            <w:r>
              <w:rPr>
                <w:rFonts w:eastAsia="宋体"/>
                <w:color w:val="auto"/>
                <w:szCs w:val="21"/>
                <w:highlight w:val="none"/>
              </w:rPr>
              <w:t>市</w:t>
            </w:r>
            <w:r>
              <w:rPr>
                <w:rFonts w:hint="eastAsia" w:eastAsia="宋体"/>
                <w:color w:val="auto"/>
                <w:szCs w:val="21"/>
                <w:highlight w:val="none"/>
                <w:lang w:val="en-US" w:eastAsia="zh-CN"/>
              </w:rPr>
              <w:t>北林区</w:t>
            </w:r>
          </w:p>
        </w:tc>
        <w:tc>
          <w:tcPr>
            <w:tcW w:w="1377" w:type="dxa"/>
            <w:noWrap w:val="0"/>
            <w:vAlign w:val="center"/>
          </w:tcPr>
          <w:p>
            <w:pPr>
              <w:spacing w:line="380" w:lineRule="exact"/>
              <w:rPr>
                <w:rFonts w:hint="eastAsia" w:ascii="Times New Roman" w:hAnsi="Times New Roman" w:eastAsia="宋体" w:cs="Times New Roman"/>
                <w:color w:val="auto"/>
                <w:kern w:val="0"/>
                <w:sz w:val="24"/>
                <w:lang w:val="en-US" w:eastAsia="zh-CN"/>
              </w:rPr>
            </w:pPr>
            <w:r>
              <w:rPr>
                <w:rFonts w:hint="eastAsia"/>
                <w:color w:val="auto"/>
                <w:sz w:val="24"/>
              </w:rPr>
              <w:t>绥化市和美物业管理有限公司</w:t>
            </w:r>
          </w:p>
        </w:tc>
        <w:tc>
          <w:tcPr>
            <w:tcW w:w="2191"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default" w:ascii="宋体" w:hAnsi="宋体" w:eastAsia="宋体" w:cs="宋体"/>
                <w:i w:val="0"/>
                <w:iCs w:val="0"/>
                <w:color w:val="auto"/>
                <w:kern w:val="2"/>
                <w:sz w:val="24"/>
                <w:szCs w:val="24"/>
                <w:u w:val="none"/>
                <w:lang w:val="en-US" w:eastAsia="zh-CN" w:bidi="ar-SA"/>
              </w:rPr>
              <w:t>哈尔滨洁沃环保技术服务有限公司</w:t>
            </w:r>
            <w:bookmarkStart w:id="23" w:name="_GoBack"/>
            <w:bookmarkEnd w:id="23"/>
          </w:p>
        </w:tc>
        <w:tc>
          <w:tcPr>
            <w:tcW w:w="1535" w:type="dxa"/>
            <w:noWrap w:val="0"/>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15</w:t>
            </w:r>
          </w:p>
        </w:tc>
      </w:tr>
    </w:tbl>
    <w:p>
      <w:pPr>
        <w:spacing w:line="380" w:lineRule="exact"/>
        <w:jc w:val="center"/>
        <w:rPr>
          <w:rFonts w:hint="eastAsia"/>
          <w:color w:val="auto"/>
          <w:sz w:val="32"/>
          <w:szCs w:val="32"/>
        </w:rPr>
      </w:pPr>
      <w:r>
        <w:rPr>
          <w:rFonts w:hint="eastAsia"/>
          <w:color w:val="auto"/>
          <w:sz w:val="32"/>
          <w:szCs w:val="32"/>
        </w:rPr>
        <w:t xml:space="preserve">  </w:t>
      </w:r>
    </w:p>
    <w:p>
      <w:pPr>
        <w:ind w:firstLine="105" w:firstLineChars="50"/>
        <w:rPr>
          <w:rFonts w:hint="eastAsia" w:eastAsiaTheme="minorEastAsia"/>
          <w:color w:val="auto"/>
          <w:szCs w:val="21"/>
          <w:lang w:eastAsia="zh-CN"/>
        </w:rPr>
      </w:pPr>
      <w:r>
        <w:rPr>
          <w:rFonts w:hint="eastAsia" w:ascii="Calibri" w:hAnsi="Calibri" w:eastAsia="宋体" w:cs="Times New Roman"/>
          <w:color w:val="auto"/>
        </w:rPr>
        <w:t>附：《</w:t>
      </w:r>
      <w:r>
        <w:rPr>
          <w:rFonts w:hint="eastAsia"/>
          <w:color w:val="auto"/>
          <w:sz w:val="24"/>
        </w:rPr>
        <w:t>秸秆综合利用生物质锅炉绥化市和美物业管理有限公司直燃锅炉实际利用项目</w:t>
      </w:r>
      <w:r>
        <w:rPr>
          <w:rFonts w:hint="eastAsia" w:eastAsiaTheme="minorEastAsia"/>
          <w:color w:val="auto"/>
          <w:szCs w:val="21"/>
        </w:rPr>
        <w:t>环境影响报告</w:t>
      </w:r>
      <w:bookmarkStart w:id="0" w:name="_Hlk57883707"/>
      <w:bookmarkStart w:id="1" w:name="_Toc30501"/>
      <w:r>
        <w:rPr>
          <w:rFonts w:hint="eastAsia" w:eastAsiaTheme="minorEastAsia"/>
          <w:color w:val="auto"/>
          <w:szCs w:val="21"/>
          <w:lang w:val="en-US" w:eastAsia="zh-CN"/>
        </w:rPr>
        <w:t>表</w:t>
      </w:r>
      <w:r>
        <w:rPr>
          <w:rFonts w:hint="eastAsia" w:eastAsiaTheme="minorEastAsia"/>
          <w:color w:val="auto"/>
          <w:szCs w:val="21"/>
          <w:lang w:eastAsia="zh-CN"/>
        </w:rPr>
        <w:t>》</w:t>
      </w:r>
      <w:bookmarkEnd w:id="0"/>
      <w:bookmarkEnd w:id="1"/>
    </w:p>
    <w:p>
      <w:pPr>
        <w:ind w:firstLine="105" w:firstLineChars="50"/>
        <w:rPr>
          <w:rFonts w:hint="eastAsia" w:eastAsiaTheme="minorEastAsia"/>
          <w:color w:val="auto"/>
          <w:szCs w:val="21"/>
        </w:rPr>
      </w:pPr>
    </w:p>
    <w:p>
      <w:pPr>
        <w:ind w:firstLine="105" w:firstLineChars="50"/>
        <w:rPr>
          <w:rFonts w:hint="eastAsia" w:eastAsiaTheme="minorEastAsia"/>
          <w:color w:val="auto"/>
          <w:szCs w:val="21"/>
        </w:rPr>
      </w:pPr>
    </w:p>
    <w:p>
      <w:pPr>
        <w:rPr>
          <w:color w:val="auto"/>
          <w:sz w:val="36"/>
          <w:szCs w:val="36"/>
        </w:rPr>
      </w:pPr>
      <w:bookmarkStart w:id="2" w:name="_Toc152227239"/>
    </w:p>
    <w:p>
      <w:pPr>
        <w:rPr>
          <w:color w:val="auto"/>
          <w:sz w:val="36"/>
          <w:szCs w:val="36"/>
        </w:rPr>
      </w:pPr>
    </w:p>
    <w:p>
      <w:pPr>
        <w:adjustRightInd w:val="0"/>
        <w:snapToGrid w:val="0"/>
        <w:jc w:val="center"/>
        <w:outlineLvl w:val="0"/>
        <w:rPr>
          <w:bCs/>
          <w:color w:val="auto"/>
          <w:sz w:val="72"/>
          <w:szCs w:val="72"/>
        </w:rPr>
      </w:pPr>
    </w:p>
    <w:p>
      <w:pPr>
        <w:adjustRightInd w:val="0"/>
        <w:snapToGrid w:val="0"/>
        <w:jc w:val="center"/>
        <w:outlineLvl w:val="0"/>
        <w:rPr>
          <w:bCs/>
          <w:color w:val="auto"/>
          <w:sz w:val="72"/>
          <w:szCs w:val="72"/>
        </w:rPr>
      </w:pPr>
    </w:p>
    <w:p>
      <w:pPr>
        <w:adjustRightInd w:val="0"/>
        <w:snapToGrid w:val="0"/>
        <w:jc w:val="center"/>
        <w:outlineLvl w:val="0"/>
        <w:rPr>
          <w:bCs/>
          <w:color w:val="auto"/>
          <w:sz w:val="72"/>
          <w:szCs w:val="72"/>
        </w:rPr>
      </w:pPr>
      <w:r>
        <w:rPr>
          <w:bCs/>
          <w:color w:val="auto"/>
          <w:sz w:val="72"/>
          <w:szCs w:val="72"/>
        </w:rPr>
        <w:t>建设项目环境影响报告表</w:t>
      </w:r>
    </w:p>
    <w:p>
      <w:pPr>
        <w:adjustRightInd w:val="0"/>
        <w:snapToGrid w:val="0"/>
        <w:spacing w:before="192" w:beforeLines="80"/>
        <w:jc w:val="center"/>
        <w:rPr>
          <w:bCs/>
          <w:color w:val="auto"/>
          <w:sz w:val="48"/>
          <w:szCs w:val="48"/>
        </w:rPr>
      </w:pPr>
      <w:r>
        <w:rPr>
          <w:bCs/>
          <w:color w:val="auto"/>
          <w:sz w:val="48"/>
          <w:szCs w:val="48"/>
        </w:rPr>
        <w:t>（污染影响类）</w:t>
      </w:r>
    </w:p>
    <w:p>
      <w:pPr>
        <w:rPr>
          <w:color w:val="auto"/>
          <w:sz w:val="52"/>
          <w:szCs w:val="52"/>
        </w:rPr>
      </w:pPr>
    </w:p>
    <w:p>
      <w:pPr>
        <w:ind w:firstLine="1040"/>
        <w:rPr>
          <w:color w:val="auto"/>
          <w:sz w:val="44"/>
          <w:szCs w:val="44"/>
        </w:rPr>
      </w:pPr>
    </w:p>
    <w:p>
      <w:pPr>
        <w:ind w:firstLine="1040"/>
        <w:rPr>
          <w:color w:val="auto"/>
          <w:sz w:val="44"/>
          <w:szCs w:val="44"/>
        </w:rPr>
      </w:pPr>
    </w:p>
    <w:p>
      <w:pPr>
        <w:ind w:firstLine="1040"/>
        <w:rPr>
          <w:color w:val="auto"/>
          <w:sz w:val="44"/>
          <w:szCs w:val="44"/>
        </w:rPr>
      </w:pPr>
    </w:p>
    <w:p>
      <w:pPr>
        <w:ind w:firstLine="1040"/>
        <w:rPr>
          <w:color w:val="auto"/>
          <w:sz w:val="44"/>
          <w:szCs w:val="44"/>
        </w:rPr>
      </w:pPr>
    </w:p>
    <w:p>
      <w:pPr>
        <w:adjustRightInd w:val="0"/>
        <w:snapToGrid w:val="0"/>
        <w:spacing w:line="288" w:lineRule="auto"/>
        <w:ind w:left="1860" w:leftChars="200" w:hanging="1440" w:hangingChars="400"/>
        <w:rPr>
          <w:color w:val="auto"/>
          <w:sz w:val="36"/>
          <w:szCs w:val="36"/>
          <w:u w:val="single"/>
        </w:rPr>
      </w:pPr>
      <w:r>
        <w:rPr>
          <w:color w:val="auto"/>
          <w:sz w:val="36"/>
          <w:szCs w:val="36"/>
        </w:rPr>
        <w:t>项目名称：</w:t>
      </w:r>
      <w:r>
        <w:rPr>
          <w:rFonts w:hint="eastAsia"/>
          <w:color w:val="auto"/>
          <w:sz w:val="36"/>
          <w:szCs w:val="36"/>
          <w:u w:val="single"/>
        </w:rPr>
        <w:t>2021年秸秆综合利用生物质锅炉绥化市和美物业管理有限公司直燃锅炉实际利用项目</w:t>
      </w:r>
      <w:r>
        <w:rPr>
          <w:color w:val="auto"/>
          <w:sz w:val="36"/>
          <w:szCs w:val="36"/>
          <w:u w:val="single"/>
        </w:rPr>
        <w:t xml:space="preserve">     </w:t>
      </w:r>
    </w:p>
    <w:p>
      <w:pPr>
        <w:adjustRightInd w:val="0"/>
        <w:snapToGrid w:val="0"/>
        <w:spacing w:line="288" w:lineRule="auto"/>
        <w:ind w:firstLine="417" w:firstLineChars="116"/>
        <w:rPr>
          <w:rFonts w:hint="eastAsia"/>
          <w:color w:val="auto"/>
          <w:sz w:val="36"/>
          <w:szCs w:val="36"/>
          <w:u w:val="single"/>
        </w:rPr>
      </w:pPr>
      <w:r>
        <w:rPr>
          <w:color w:val="auto"/>
          <w:sz w:val="36"/>
          <w:szCs w:val="36"/>
        </w:rPr>
        <w:t>建设单位（盖章）：</w:t>
      </w:r>
      <w:r>
        <w:rPr>
          <w:rFonts w:hint="eastAsia"/>
          <w:color w:val="auto"/>
          <w:sz w:val="36"/>
          <w:szCs w:val="36"/>
        </w:rPr>
        <w:t xml:space="preserve"> </w:t>
      </w:r>
      <w:r>
        <w:rPr>
          <w:color w:val="auto"/>
          <w:sz w:val="36"/>
          <w:szCs w:val="36"/>
          <w:u w:val="single"/>
        </w:rPr>
        <w:t xml:space="preserve"> </w:t>
      </w:r>
      <w:r>
        <w:rPr>
          <w:rFonts w:hint="eastAsia"/>
          <w:color w:val="auto"/>
          <w:sz w:val="36"/>
          <w:szCs w:val="36"/>
          <w:u w:val="single"/>
        </w:rPr>
        <w:t xml:space="preserve">绥化市和美物业管理有限公司 </w:t>
      </w:r>
    </w:p>
    <w:p>
      <w:pPr>
        <w:adjustRightInd w:val="0"/>
        <w:snapToGrid w:val="0"/>
        <w:spacing w:line="288" w:lineRule="auto"/>
        <w:ind w:firstLine="417" w:firstLineChars="116"/>
        <w:rPr>
          <w:color w:val="auto"/>
          <w:sz w:val="36"/>
          <w:szCs w:val="36"/>
          <w:u w:val="single"/>
        </w:rPr>
      </w:pPr>
      <w:r>
        <w:rPr>
          <w:color w:val="auto"/>
          <w:sz w:val="36"/>
          <w:szCs w:val="36"/>
        </w:rPr>
        <w:t>编制日期：</w:t>
      </w:r>
      <w:r>
        <w:rPr>
          <w:color w:val="auto"/>
          <w:sz w:val="36"/>
          <w:szCs w:val="36"/>
          <w:u w:val="single"/>
        </w:rPr>
        <w:t xml:space="preserve">           2024年</w:t>
      </w:r>
      <w:r>
        <w:rPr>
          <w:rFonts w:hint="eastAsia"/>
          <w:color w:val="auto"/>
          <w:sz w:val="36"/>
          <w:szCs w:val="36"/>
          <w:u w:val="single"/>
        </w:rPr>
        <w:t>3</w:t>
      </w:r>
      <w:r>
        <w:rPr>
          <w:color w:val="auto"/>
          <w:sz w:val="36"/>
          <w:szCs w:val="36"/>
          <w:u w:val="single"/>
        </w:rPr>
        <w:t xml:space="preserve">月            </w:t>
      </w:r>
    </w:p>
    <w:p>
      <w:pPr>
        <w:adjustRightInd w:val="0"/>
        <w:snapToGrid w:val="0"/>
        <w:spacing w:line="288" w:lineRule="auto"/>
        <w:ind w:firstLine="1040"/>
        <w:rPr>
          <w:color w:val="auto"/>
          <w:sz w:val="36"/>
          <w:szCs w:val="36"/>
          <w:u w:val="single"/>
        </w:rPr>
      </w:pPr>
      <w:bookmarkStart w:id="3" w:name="_Hlk57884087"/>
    </w:p>
    <w:p>
      <w:pPr>
        <w:adjustRightInd w:val="0"/>
        <w:snapToGrid w:val="0"/>
        <w:spacing w:line="288" w:lineRule="auto"/>
        <w:ind w:firstLine="1040"/>
        <w:rPr>
          <w:rFonts w:hint="eastAsia"/>
          <w:color w:val="auto"/>
          <w:sz w:val="36"/>
          <w:szCs w:val="36"/>
        </w:rPr>
      </w:pPr>
    </w:p>
    <w:p>
      <w:pPr>
        <w:adjustRightInd w:val="0"/>
        <w:snapToGrid w:val="0"/>
        <w:spacing w:line="288" w:lineRule="auto"/>
        <w:ind w:firstLine="1040"/>
        <w:rPr>
          <w:color w:val="auto"/>
          <w:sz w:val="36"/>
          <w:szCs w:val="36"/>
        </w:rPr>
      </w:pPr>
    </w:p>
    <w:p>
      <w:pPr>
        <w:adjustRightInd w:val="0"/>
        <w:snapToGrid w:val="0"/>
        <w:spacing w:line="288" w:lineRule="auto"/>
        <w:ind w:firstLine="1040"/>
        <w:rPr>
          <w:color w:val="auto"/>
          <w:sz w:val="36"/>
          <w:szCs w:val="36"/>
        </w:rPr>
      </w:pPr>
    </w:p>
    <w:p>
      <w:pPr>
        <w:adjustRightInd w:val="0"/>
        <w:snapToGrid w:val="0"/>
        <w:spacing w:line="288" w:lineRule="auto"/>
        <w:ind w:firstLine="1040"/>
        <w:rPr>
          <w:color w:val="auto"/>
          <w:sz w:val="36"/>
          <w:szCs w:val="36"/>
        </w:rPr>
      </w:pPr>
    </w:p>
    <w:p>
      <w:pPr>
        <w:adjustRightInd w:val="0"/>
        <w:snapToGrid w:val="0"/>
        <w:spacing w:line="288" w:lineRule="auto"/>
        <w:ind w:firstLine="1040"/>
        <w:rPr>
          <w:color w:val="auto"/>
          <w:sz w:val="36"/>
          <w:szCs w:val="36"/>
        </w:rPr>
      </w:pPr>
    </w:p>
    <w:bookmarkEnd w:id="3"/>
    <w:p>
      <w:pPr>
        <w:adjustRightInd w:val="0"/>
        <w:snapToGrid w:val="0"/>
        <w:spacing w:line="288" w:lineRule="auto"/>
        <w:jc w:val="center"/>
        <w:rPr>
          <w:rFonts w:hint="eastAsia"/>
          <w:color w:val="auto"/>
          <w:sz w:val="36"/>
          <w:szCs w:val="36"/>
        </w:rPr>
      </w:pPr>
      <w:r>
        <w:rPr>
          <w:color w:val="auto"/>
          <w:sz w:val="36"/>
          <w:szCs w:val="36"/>
        </w:rPr>
        <w:t>中华人民共和国生态环境部制</w:t>
      </w:r>
    </w:p>
    <w:p>
      <w:pPr>
        <w:adjustRightInd w:val="0"/>
        <w:snapToGrid w:val="0"/>
        <w:spacing w:line="288" w:lineRule="auto"/>
        <w:jc w:val="center"/>
        <w:rPr>
          <w:b/>
          <w:bCs/>
          <w:color w:val="auto"/>
          <w:sz w:val="24"/>
        </w:rPr>
      </w:pPr>
      <w:r>
        <w:rPr>
          <w:color w:val="auto"/>
          <w:sz w:val="36"/>
          <w:szCs w:val="36"/>
        </w:rPr>
        <w:br w:type="page"/>
      </w:r>
      <w:r>
        <w:rPr>
          <w:b/>
          <w:bCs/>
          <w:color w:val="auto"/>
          <w:sz w:val="24"/>
          <w:lang w:val="zh-CN"/>
        </w:rPr>
        <w:t>目录</w:t>
      </w:r>
      <w:r>
        <w:rPr>
          <w:color w:val="auto"/>
          <w:sz w:val="24"/>
        </w:rPr>
        <w:fldChar w:fldCharType="begin"/>
      </w:r>
      <w:r>
        <w:rPr>
          <w:color w:val="auto"/>
          <w:sz w:val="24"/>
        </w:rPr>
        <w:instrText xml:space="preserve"> TOC \o "1-3" \h \z \u </w:instrText>
      </w:r>
      <w:r>
        <w:rPr>
          <w:color w:val="auto"/>
          <w:sz w:val="24"/>
        </w:rPr>
        <w:fldChar w:fldCharType="separate"/>
      </w:r>
    </w:p>
    <w:p>
      <w:pPr>
        <w:pStyle w:val="9"/>
        <w:tabs>
          <w:tab w:val="right" w:leader="dot" w:pos="8834"/>
          <w:tab w:val="clear" w:pos="8364"/>
        </w:tabs>
        <w:spacing w:line="480" w:lineRule="auto"/>
        <w:rPr>
          <w:color w:val="auto"/>
          <w:sz w:val="24"/>
        </w:rPr>
      </w:pPr>
      <w:r>
        <w:rPr>
          <w:rStyle w:val="19"/>
          <w:color w:val="auto"/>
          <w:sz w:val="24"/>
        </w:rPr>
        <w:fldChar w:fldCharType="begin"/>
      </w:r>
      <w:r>
        <w:rPr>
          <w:rStyle w:val="19"/>
          <w:color w:val="auto"/>
          <w:sz w:val="24"/>
        </w:rPr>
        <w:instrText xml:space="preserve"> </w:instrText>
      </w:r>
      <w:r>
        <w:rPr>
          <w:color w:val="auto"/>
          <w:sz w:val="24"/>
        </w:rPr>
        <w:instrText xml:space="preserve">HYPERLINK \l "_Toc152227240"</w:instrText>
      </w:r>
      <w:r>
        <w:rPr>
          <w:rStyle w:val="19"/>
          <w:color w:val="auto"/>
          <w:sz w:val="24"/>
        </w:rPr>
        <w:instrText xml:space="preserve"> </w:instrText>
      </w:r>
      <w:r>
        <w:rPr>
          <w:rStyle w:val="19"/>
          <w:color w:val="auto"/>
          <w:sz w:val="24"/>
        </w:rPr>
        <w:fldChar w:fldCharType="separate"/>
      </w:r>
      <w:r>
        <w:rPr>
          <w:rStyle w:val="19"/>
          <w:snapToGrid w:val="0"/>
          <w:color w:val="auto"/>
          <w:sz w:val="24"/>
        </w:rPr>
        <w:t>一、建设项目基本情况</w:t>
      </w:r>
      <w:r>
        <w:rPr>
          <w:color w:val="auto"/>
          <w:sz w:val="24"/>
        </w:rPr>
        <w:tab/>
      </w:r>
      <w:r>
        <w:rPr>
          <w:color w:val="auto"/>
          <w:sz w:val="24"/>
        </w:rPr>
        <w:fldChar w:fldCharType="begin"/>
      </w:r>
      <w:r>
        <w:rPr>
          <w:color w:val="auto"/>
          <w:sz w:val="24"/>
        </w:rPr>
        <w:instrText xml:space="preserve"> PAGEREF _Toc152227240 \h </w:instrText>
      </w:r>
      <w:r>
        <w:rPr>
          <w:color w:val="auto"/>
          <w:sz w:val="24"/>
        </w:rPr>
        <w:fldChar w:fldCharType="separate"/>
      </w:r>
      <w:r>
        <w:rPr>
          <w:color w:val="auto"/>
          <w:sz w:val="24"/>
        </w:rPr>
        <w:t>1</w:t>
      </w:r>
      <w:r>
        <w:rPr>
          <w:color w:val="auto"/>
          <w:sz w:val="24"/>
        </w:rPr>
        <w:fldChar w:fldCharType="end"/>
      </w:r>
      <w:r>
        <w:rPr>
          <w:rStyle w:val="19"/>
          <w:color w:val="auto"/>
          <w:sz w:val="24"/>
        </w:rPr>
        <w:fldChar w:fldCharType="end"/>
      </w:r>
    </w:p>
    <w:p>
      <w:pPr>
        <w:pStyle w:val="9"/>
        <w:tabs>
          <w:tab w:val="right" w:leader="dot" w:pos="8834"/>
          <w:tab w:val="clear" w:pos="8364"/>
        </w:tabs>
        <w:spacing w:line="480" w:lineRule="auto"/>
        <w:rPr>
          <w:color w:val="auto"/>
          <w:sz w:val="24"/>
        </w:rPr>
      </w:pPr>
      <w:r>
        <w:rPr>
          <w:rStyle w:val="19"/>
          <w:color w:val="auto"/>
          <w:sz w:val="24"/>
        </w:rPr>
        <w:fldChar w:fldCharType="begin"/>
      </w:r>
      <w:r>
        <w:rPr>
          <w:rStyle w:val="19"/>
          <w:color w:val="auto"/>
          <w:sz w:val="24"/>
        </w:rPr>
        <w:instrText xml:space="preserve"> </w:instrText>
      </w:r>
      <w:r>
        <w:rPr>
          <w:color w:val="auto"/>
          <w:sz w:val="24"/>
        </w:rPr>
        <w:instrText xml:space="preserve">HYPERLINK \l "_Toc152227241"</w:instrText>
      </w:r>
      <w:r>
        <w:rPr>
          <w:rStyle w:val="19"/>
          <w:color w:val="auto"/>
          <w:sz w:val="24"/>
        </w:rPr>
        <w:instrText xml:space="preserve"> </w:instrText>
      </w:r>
      <w:r>
        <w:rPr>
          <w:rStyle w:val="19"/>
          <w:color w:val="auto"/>
          <w:sz w:val="24"/>
        </w:rPr>
        <w:fldChar w:fldCharType="separate"/>
      </w:r>
      <w:r>
        <w:rPr>
          <w:rStyle w:val="19"/>
          <w:snapToGrid w:val="0"/>
          <w:color w:val="auto"/>
          <w:sz w:val="24"/>
        </w:rPr>
        <w:t>二、建设项目工程分析</w:t>
      </w:r>
      <w:r>
        <w:rPr>
          <w:color w:val="auto"/>
          <w:sz w:val="24"/>
        </w:rPr>
        <w:tab/>
      </w:r>
      <w:r>
        <w:rPr>
          <w:color w:val="auto"/>
          <w:sz w:val="24"/>
        </w:rPr>
        <w:fldChar w:fldCharType="begin"/>
      </w:r>
      <w:r>
        <w:rPr>
          <w:color w:val="auto"/>
          <w:sz w:val="24"/>
        </w:rPr>
        <w:instrText xml:space="preserve"> PAGEREF _Toc152227241 \h </w:instrText>
      </w:r>
      <w:r>
        <w:rPr>
          <w:color w:val="auto"/>
          <w:sz w:val="24"/>
        </w:rPr>
        <w:fldChar w:fldCharType="separate"/>
      </w:r>
      <w:r>
        <w:rPr>
          <w:color w:val="auto"/>
          <w:sz w:val="24"/>
        </w:rPr>
        <w:t>8</w:t>
      </w:r>
      <w:r>
        <w:rPr>
          <w:color w:val="auto"/>
          <w:sz w:val="24"/>
        </w:rPr>
        <w:fldChar w:fldCharType="end"/>
      </w:r>
      <w:r>
        <w:rPr>
          <w:rStyle w:val="19"/>
          <w:color w:val="auto"/>
          <w:sz w:val="24"/>
        </w:rPr>
        <w:fldChar w:fldCharType="end"/>
      </w:r>
    </w:p>
    <w:p>
      <w:pPr>
        <w:pStyle w:val="9"/>
        <w:tabs>
          <w:tab w:val="right" w:leader="dot" w:pos="8834"/>
          <w:tab w:val="clear" w:pos="8364"/>
        </w:tabs>
        <w:spacing w:line="480" w:lineRule="auto"/>
        <w:rPr>
          <w:color w:val="auto"/>
          <w:sz w:val="24"/>
        </w:rPr>
      </w:pPr>
      <w:r>
        <w:rPr>
          <w:rStyle w:val="19"/>
          <w:color w:val="auto"/>
          <w:sz w:val="24"/>
        </w:rPr>
        <w:fldChar w:fldCharType="begin"/>
      </w:r>
      <w:r>
        <w:rPr>
          <w:rStyle w:val="19"/>
          <w:color w:val="auto"/>
          <w:sz w:val="24"/>
        </w:rPr>
        <w:instrText xml:space="preserve"> </w:instrText>
      </w:r>
      <w:r>
        <w:rPr>
          <w:color w:val="auto"/>
          <w:sz w:val="24"/>
        </w:rPr>
        <w:instrText xml:space="preserve">HYPERLINK \l "_Toc152227242"</w:instrText>
      </w:r>
      <w:r>
        <w:rPr>
          <w:rStyle w:val="19"/>
          <w:color w:val="auto"/>
          <w:sz w:val="24"/>
        </w:rPr>
        <w:instrText xml:space="preserve"> </w:instrText>
      </w:r>
      <w:r>
        <w:rPr>
          <w:rStyle w:val="19"/>
          <w:color w:val="auto"/>
          <w:sz w:val="24"/>
        </w:rPr>
        <w:fldChar w:fldCharType="separate"/>
      </w:r>
      <w:r>
        <w:rPr>
          <w:rStyle w:val="19"/>
          <w:snapToGrid w:val="0"/>
          <w:color w:val="auto"/>
          <w:sz w:val="24"/>
        </w:rPr>
        <w:t>三、区域环境质量现状、环境保护目标及评价标准</w:t>
      </w:r>
      <w:r>
        <w:rPr>
          <w:color w:val="auto"/>
          <w:sz w:val="24"/>
        </w:rPr>
        <w:tab/>
      </w:r>
      <w:r>
        <w:rPr>
          <w:color w:val="auto"/>
          <w:sz w:val="24"/>
        </w:rPr>
        <w:fldChar w:fldCharType="begin"/>
      </w:r>
      <w:r>
        <w:rPr>
          <w:color w:val="auto"/>
          <w:sz w:val="24"/>
        </w:rPr>
        <w:instrText xml:space="preserve"> PAGEREF _Toc152227242 \h </w:instrText>
      </w:r>
      <w:r>
        <w:rPr>
          <w:color w:val="auto"/>
          <w:sz w:val="24"/>
        </w:rPr>
        <w:fldChar w:fldCharType="separate"/>
      </w:r>
      <w:r>
        <w:rPr>
          <w:color w:val="auto"/>
          <w:sz w:val="24"/>
        </w:rPr>
        <w:t>14</w:t>
      </w:r>
      <w:r>
        <w:rPr>
          <w:color w:val="auto"/>
          <w:sz w:val="24"/>
        </w:rPr>
        <w:fldChar w:fldCharType="end"/>
      </w:r>
      <w:r>
        <w:rPr>
          <w:rStyle w:val="19"/>
          <w:color w:val="auto"/>
          <w:sz w:val="24"/>
        </w:rPr>
        <w:fldChar w:fldCharType="end"/>
      </w:r>
    </w:p>
    <w:p>
      <w:pPr>
        <w:pStyle w:val="9"/>
        <w:tabs>
          <w:tab w:val="right" w:leader="dot" w:pos="8834"/>
          <w:tab w:val="clear" w:pos="8364"/>
        </w:tabs>
        <w:spacing w:line="480" w:lineRule="auto"/>
        <w:rPr>
          <w:color w:val="auto"/>
          <w:sz w:val="24"/>
        </w:rPr>
      </w:pPr>
      <w:r>
        <w:rPr>
          <w:rStyle w:val="19"/>
          <w:color w:val="auto"/>
          <w:sz w:val="24"/>
        </w:rPr>
        <w:fldChar w:fldCharType="begin"/>
      </w:r>
      <w:r>
        <w:rPr>
          <w:rStyle w:val="19"/>
          <w:color w:val="auto"/>
          <w:sz w:val="24"/>
        </w:rPr>
        <w:instrText xml:space="preserve"> </w:instrText>
      </w:r>
      <w:r>
        <w:rPr>
          <w:color w:val="auto"/>
          <w:sz w:val="24"/>
        </w:rPr>
        <w:instrText xml:space="preserve">HYPERLINK \l "_Toc152227243"</w:instrText>
      </w:r>
      <w:r>
        <w:rPr>
          <w:rStyle w:val="19"/>
          <w:color w:val="auto"/>
          <w:sz w:val="24"/>
        </w:rPr>
        <w:instrText xml:space="preserve"> </w:instrText>
      </w:r>
      <w:r>
        <w:rPr>
          <w:rStyle w:val="19"/>
          <w:color w:val="auto"/>
          <w:sz w:val="24"/>
        </w:rPr>
        <w:fldChar w:fldCharType="separate"/>
      </w:r>
      <w:r>
        <w:rPr>
          <w:rStyle w:val="19"/>
          <w:snapToGrid w:val="0"/>
          <w:color w:val="auto"/>
          <w:sz w:val="24"/>
        </w:rPr>
        <w:t>四、主要环境影响和保护措施</w:t>
      </w:r>
      <w:r>
        <w:rPr>
          <w:color w:val="auto"/>
          <w:sz w:val="24"/>
        </w:rPr>
        <w:tab/>
      </w:r>
      <w:r>
        <w:rPr>
          <w:color w:val="auto"/>
          <w:sz w:val="24"/>
        </w:rPr>
        <w:fldChar w:fldCharType="begin"/>
      </w:r>
      <w:r>
        <w:rPr>
          <w:color w:val="auto"/>
          <w:sz w:val="24"/>
        </w:rPr>
        <w:instrText xml:space="preserve"> PAGEREF _Toc152227243 \h </w:instrText>
      </w:r>
      <w:r>
        <w:rPr>
          <w:color w:val="auto"/>
          <w:sz w:val="24"/>
        </w:rPr>
        <w:fldChar w:fldCharType="separate"/>
      </w:r>
      <w:r>
        <w:rPr>
          <w:color w:val="auto"/>
          <w:sz w:val="24"/>
        </w:rPr>
        <w:t>18</w:t>
      </w:r>
      <w:r>
        <w:rPr>
          <w:color w:val="auto"/>
          <w:sz w:val="24"/>
        </w:rPr>
        <w:fldChar w:fldCharType="end"/>
      </w:r>
      <w:r>
        <w:rPr>
          <w:rStyle w:val="19"/>
          <w:color w:val="auto"/>
          <w:sz w:val="24"/>
        </w:rPr>
        <w:fldChar w:fldCharType="end"/>
      </w:r>
    </w:p>
    <w:p>
      <w:pPr>
        <w:pStyle w:val="9"/>
        <w:tabs>
          <w:tab w:val="right" w:leader="dot" w:pos="8834"/>
          <w:tab w:val="clear" w:pos="8364"/>
        </w:tabs>
        <w:spacing w:line="480" w:lineRule="auto"/>
        <w:rPr>
          <w:color w:val="auto"/>
          <w:sz w:val="24"/>
        </w:rPr>
      </w:pPr>
      <w:r>
        <w:rPr>
          <w:rStyle w:val="19"/>
          <w:color w:val="auto"/>
          <w:sz w:val="24"/>
        </w:rPr>
        <w:fldChar w:fldCharType="begin"/>
      </w:r>
      <w:r>
        <w:rPr>
          <w:rStyle w:val="19"/>
          <w:color w:val="auto"/>
          <w:sz w:val="24"/>
        </w:rPr>
        <w:instrText xml:space="preserve"> </w:instrText>
      </w:r>
      <w:r>
        <w:rPr>
          <w:color w:val="auto"/>
          <w:sz w:val="24"/>
        </w:rPr>
        <w:instrText xml:space="preserve">HYPERLINK \l "_Toc152227244"</w:instrText>
      </w:r>
      <w:r>
        <w:rPr>
          <w:rStyle w:val="19"/>
          <w:color w:val="auto"/>
          <w:sz w:val="24"/>
        </w:rPr>
        <w:instrText xml:space="preserve"> </w:instrText>
      </w:r>
      <w:r>
        <w:rPr>
          <w:rStyle w:val="19"/>
          <w:color w:val="auto"/>
          <w:sz w:val="24"/>
        </w:rPr>
        <w:fldChar w:fldCharType="separate"/>
      </w:r>
      <w:r>
        <w:rPr>
          <w:rStyle w:val="19"/>
          <w:snapToGrid w:val="0"/>
          <w:color w:val="auto"/>
          <w:sz w:val="24"/>
        </w:rPr>
        <w:t>五、环境保护措施监督检查清单</w:t>
      </w:r>
      <w:r>
        <w:rPr>
          <w:color w:val="auto"/>
          <w:sz w:val="24"/>
        </w:rPr>
        <w:tab/>
      </w:r>
      <w:r>
        <w:rPr>
          <w:color w:val="auto"/>
          <w:sz w:val="24"/>
        </w:rPr>
        <w:fldChar w:fldCharType="begin"/>
      </w:r>
      <w:r>
        <w:rPr>
          <w:color w:val="auto"/>
          <w:sz w:val="24"/>
        </w:rPr>
        <w:instrText xml:space="preserve"> PAGEREF _Toc152227244 \h </w:instrText>
      </w:r>
      <w:r>
        <w:rPr>
          <w:color w:val="auto"/>
          <w:sz w:val="24"/>
        </w:rPr>
        <w:fldChar w:fldCharType="separate"/>
      </w:r>
      <w:r>
        <w:rPr>
          <w:color w:val="auto"/>
          <w:sz w:val="24"/>
        </w:rPr>
        <w:t>33</w:t>
      </w:r>
      <w:r>
        <w:rPr>
          <w:color w:val="auto"/>
          <w:sz w:val="24"/>
        </w:rPr>
        <w:fldChar w:fldCharType="end"/>
      </w:r>
      <w:r>
        <w:rPr>
          <w:rStyle w:val="19"/>
          <w:color w:val="auto"/>
          <w:sz w:val="24"/>
        </w:rPr>
        <w:fldChar w:fldCharType="end"/>
      </w:r>
    </w:p>
    <w:p>
      <w:pPr>
        <w:pStyle w:val="9"/>
        <w:tabs>
          <w:tab w:val="right" w:leader="dot" w:pos="8834"/>
          <w:tab w:val="clear" w:pos="8364"/>
        </w:tabs>
        <w:spacing w:line="480" w:lineRule="auto"/>
        <w:rPr>
          <w:color w:val="auto"/>
          <w:sz w:val="24"/>
        </w:rPr>
      </w:pPr>
      <w:r>
        <w:rPr>
          <w:rStyle w:val="19"/>
          <w:color w:val="auto"/>
          <w:sz w:val="24"/>
        </w:rPr>
        <w:fldChar w:fldCharType="begin"/>
      </w:r>
      <w:r>
        <w:rPr>
          <w:rStyle w:val="19"/>
          <w:color w:val="auto"/>
          <w:sz w:val="24"/>
        </w:rPr>
        <w:instrText xml:space="preserve"> </w:instrText>
      </w:r>
      <w:r>
        <w:rPr>
          <w:color w:val="auto"/>
          <w:sz w:val="24"/>
        </w:rPr>
        <w:instrText xml:space="preserve">HYPERLINK \l "_Toc152227245"</w:instrText>
      </w:r>
      <w:r>
        <w:rPr>
          <w:rStyle w:val="19"/>
          <w:color w:val="auto"/>
          <w:sz w:val="24"/>
        </w:rPr>
        <w:instrText xml:space="preserve"> </w:instrText>
      </w:r>
      <w:r>
        <w:rPr>
          <w:rStyle w:val="19"/>
          <w:color w:val="auto"/>
          <w:sz w:val="24"/>
        </w:rPr>
        <w:fldChar w:fldCharType="separate"/>
      </w:r>
      <w:r>
        <w:rPr>
          <w:rStyle w:val="19"/>
          <w:snapToGrid w:val="0"/>
          <w:color w:val="auto"/>
          <w:sz w:val="24"/>
        </w:rPr>
        <w:t>六、结论</w:t>
      </w:r>
      <w:r>
        <w:rPr>
          <w:color w:val="auto"/>
          <w:sz w:val="24"/>
        </w:rPr>
        <w:tab/>
      </w:r>
      <w:r>
        <w:rPr>
          <w:color w:val="auto"/>
          <w:sz w:val="24"/>
        </w:rPr>
        <w:fldChar w:fldCharType="begin"/>
      </w:r>
      <w:r>
        <w:rPr>
          <w:color w:val="auto"/>
          <w:sz w:val="24"/>
        </w:rPr>
        <w:instrText xml:space="preserve"> PAGEREF _Toc152227245 \h </w:instrText>
      </w:r>
      <w:r>
        <w:rPr>
          <w:color w:val="auto"/>
          <w:sz w:val="24"/>
        </w:rPr>
        <w:fldChar w:fldCharType="separate"/>
      </w:r>
      <w:r>
        <w:rPr>
          <w:color w:val="auto"/>
          <w:sz w:val="24"/>
        </w:rPr>
        <w:t>35</w:t>
      </w:r>
      <w:r>
        <w:rPr>
          <w:color w:val="auto"/>
          <w:sz w:val="24"/>
        </w:rPr>
        <w:fldChar w:fldCharType="end"/>
      </w:r>
      <w:r>
        <w:rPr>
          <w:rStyle w:val="19"/>
          <w:color w:val="auto"/>
          <w:sz w:val="24"/>
        </w:rPr>
        <w:fldChar w:fldCharType="end"/>
      </w:r>
    </w:p>
    <w:p>
      <w:pPr>
        <w:pStyle w:val="9"/>
        <w:tabs>
          <w:tab w:val="right" w:leader="dot" w:pos="8834"/>
          <w:tab w:val="clear" w:pos="8364"/>
        </w:tabs>
        <w:spacing w:line="480" w:lineRule="auto"/>
        <w:rPr>
          <w:color w:val="auto"/>
          <w:sz w:val="24"/>
        </w:rPr>
      </w:pPr>
      <w:r>
        <w:rPr>
          <w:rStyle w:val="19"/>
          <w:color w:val="auto"/>
          <w:sz w:val="24"/>
        </w:rPr>
        <w:fldChar w:fldCharType="begin"/>
      </w:r>
      <w:r>
        <w:rPr>
          <w:rStyle w:val="19"/>
          <w:color w:val="auto"/>
          <w:sz w:val="24"/>
        </w:rPr>
        <w:instrText xml:space="preserve"> </w:instrText>
      </w:r>
      <w:r>
        <w:rPr>
          <w:color w:val="auto"/>
          <w:sz w:val="24"/>
        </w:rPr>
        <w:instrText xml:space="preserve">HYPERLINK \l "_Toc152227246"</w:instrText>
      </w:r>
      <w:r>
        <w:rPr>
          <w:rStyle w:val="19"/>
          <w:color w:val="auto"/>
          <w:sz w:val="24"/>
        </w:rPr>
        <w:instrText xml:space="preserve"> </w:instrText>
      </w:r>
      <w:r>
        <w:rPr>
          <w:rStyle w:val="19"/>
          <w:color w:val="auto"/>
          <w:sz w:val="24"/>
        </w:rPr>
        <w:fldChar w:fldCharType="separate"/>
      </w:r>
      <w:r>
        <w:rPr>
          <w:rStyle w:val="19"/>
          <w:snapToGrid w:val="0"/>
          <w:color w:val="auto"/>
          <w:sz w:val="24"/>
        </w:rPr>
        <w:t>附表</w:t>
      </w:r>
      <w:r>
        <w:rPr>
          <w:color w:val="auto"/>
          <w:sz w:val="24"/>
        </w:rPr>
        <w:tab/>
      </w:r>
      <w:r>
        <w:rPr>
          <w:color w:val="auto"/>
          <w:sz w:val="24"/>
        </w:rPr>
        <w:fldChar w:fldCharType="begin"/>
      </w:r>
      <w:r>
        <w:rPr>
          <w:color w:val="auto"/>
          <w:sz w:val="24"/>
        </w:rPr>
        <w:instrText xml:space="preserve"> PAGEREF _Toc152227246 \h </w:instrText>
      </w:r>
      <w:r>
        <w:rPr>
          <w:color w:val="auto"/>
          <w:sz w:val="24"/>
        </w:rPr>
        <w:fldChar w:fldCharType="separate"/>
      </w:r>
      <w:r>
        <w:rPr>
          <w:color w:val="auto"/>
          <w:sz w:val="24"/>
        </w:rPr>
        <w:t>36</w:t>
      </w:r>
      <w:r>
        <w:rPr>
          <w:color w:val="auto"/>
          <w:sz w:val="24"/>
        </w:rPr>
        <w:fldChar w:fldCharType="end"/>
      </w:r>
      <w:r>
        <w:rPr>
          <w:rStyle w:val="19"/>
          <w:color w:val="auto"/>
          <w:sz w:val="24"/>
        </w:rPr>
        <w:fldChar w:fldCharType="end"/>
      </w:r>
    </w:p>
    <w:p>
      <w:pPr>
        <w:spacing w:line="480" w:lineRule="auto"/>
        <w:rPr>
          <w:b/>
          <w:bCs/>
          <w:color w:val="auto"/>
          <w:sz w:val="24"/>
          <w:lang w:val="zh-CN"/>
        </w:rPr>
      </w:pPr>
      <w:r>
        <w:rPr>
          <w:b/>
          <w:bCs/>
          <w:color w:val="auto"/>
          <w:sz w:val="24"/>
          <w:lang w:val="zh-CN"/>
        </w:rPr>
        <w:fldChar w:fldCharType="end"/>
      </w:r>
      <w:r>
        <w:rPr>
          <w:b/>
          <w:bCs/>
          <w:color w:val="auto"/>
          <w:sz w:val="24"/>
          <w:lang w:val="zh-CN"/>
        </w:rPr>
        <w:t>附件</w:t>
      </w:r>
    </w:p>
    <w:p>
      <w:pPr>
        <w:pStyle w:val="31"/>
        <w:ind w:firstLine="0" w:firstLineChars="0"/>
        <w:rPr>
          <w:color w:val="auto"/>
          <w:lang w:val="zh-CN"/>
        </w:rPr>
      </w:pPr>
      <w:r>
        <w:rPr>
          <w:color w:val="auto"/>
          <w:lang w:val="zh-CN"/>
        </w:rPr>
        <w:t>附件1：</w:t>
      </w:r>
      <w:r>
        <w:rPr>
          <w:rFonts w:hint="eastAsia" w:hAnsi="宋体"/>
          <w:color w:val="auto"/>
        </w:rPr>
        <w:t>营业执照</w:t>
      </w:r>
    </w:p>
    <w:p>
      <w:pPr>
        <w:pStyle w:val="31"/>
        <w:ind w:firstLine="0" w:firstLineChars="0"/>
        <w:rPr>
          <w:color w:val="auto"/>
          <w:lang w:val="zh-CN"/>
        </w:rPr>
      </w:pPr>
      <w:r>
        <w:rPr>
          <w:color w:val="auto"/>
          <w:lang w:val="zh-CN"/>
        </w:rPr>
        <w:t>附件2：</w:t>
      </w:r>
      <w:r>
        <w:rPr>
          <w:rFonts w:hint="eastAsia"/>
          <w:color w:val="auto"/>
          <w:lang w:val="zh-CN"/>
        </w:rPr>
        <w:t>用地</w:t>
      </w:r>
      <w:r>
        <w:rPr>
          <w:color w:val="auto"/>
          <w:lang w:val="zh-CN"/>
        </w:rPr>
        <w:t>规划</w:t>
      </w:r>
    </w:p>
    <w:p>
      <w:pPr>
        <w:pStyle w:val="31"/>
        <w:ind w:firstLine="0" w:firstLineChars="0"/>
        <w:rPr>
          <w:color w:val="auto"/>
          <w:lang w:val="zh-CN"/>
        </w:rPr>
      </w:pPr>
      <w:r>
        <w:rPr>
          <w:color w:val="auto"/>
          <w:lang w:val="zh-CN"/>
        </w:rPr>
        <w:t>附件3：</w:t>
      </w:r>
      <w:bookmarkStart w:id="4" w:name="_Hlk144977485"/>
      <w:r>
        <w:rPr>
          <w:color w:val="auto"/>
          <w:lang w:val="zh-CN"/>
        </w:rPr>
        <w:t>生物质分析报告</w:t>
      </w:r>
      <w:bookmarkEnd w:id="4"/>
    </w:p>
    <w:p>
      <w:pPr>
        <w:pStyle w:val="31"/>
        <w:ind w:firstLine="0" w:firstLineChars="0"/>
        <w:rPr>
          <w:color w:val="auto"/>
          <w:lang w:val="zh-CN"/>
        </w:rPr>
      </w:pPr>
      <w:r>
        <w:rPr>
          <w:color w:val="auto"/>
          <w:lang w:val="zh-CN"/>
        </w:rPr>
        <w:t>附件</w:t>
      </w:r>
      <w:r>
        <w:rPr>
          <w:color w:val="auto"/>
        </w:rPr>
        <w:t>4</w:t>
      </w:r>
      <w:r>
        <w:rPr>
          <w:color w:val="auto"/>
          <w:lang w:val="zh-CN"/>
        </w:rPr>
        <w:t>：监测报告</w:t>
      </w:r>
    </w:p>
    <w:p>
      <w:pPr>
        <w:pStyle w:val="31"/>
        <w:ind w:firstLine="0" w:firstLineChars="0"/>
        <w:rPr>
          <w:rFonts w:hint="eastAsia"/>
          <w:color w:val="auto"/>
          <w:lang w:val="zh-CN" w:eastAsia="zh-CN"/>
        </w:rPr>
      </w:pPr>
      <w:r>
        <w:rPr>
          <w:color w:val="auto"/>
          <w:lang w:val="zh-CN"/>
        </w:rPr>
        <w:t>附件</w:t>
      </w:r>
      <w:r>
        <w:rPr>
          <w:rFonts w:hint="eastAsia"/>
          <w:color w:val="auto"/>
        </w:rPr>
        <w:t>5</w:t>
      </w:r>
      <w:r>
        <w:rPr>
          <w:color w:val="auto"/>
          <w:lang w:val="zh-CN"/>
        </w:rPr>
        <w:t>：核定排放量计算说明</w:t>
      </w:r>
    </w:p>
    <w:p>
      <w:pPr>
        <w:pStyle w:val="31"/>
        <w:ind w:firstLine="0" w:firstLineChars="0"/>
        <w:rPr>
          <w:rFonts w:hint="eastAsia"/>
          <w:color w:val="auto"/>
          <w:lang w:val="zh-CN" w:eastAsia="zh-CN"/>
        </w:rPr>
      </w:pPr>
      <w:r>
        <w:rPr>
          <w:rFonts w:hint="eastAsia"/>
          <w:color w:val="auto"/>
          <w:lang w:val="zh-CN" w:eastAsia="zh-CN"/>
        </w:rPr>
        <w:t>附件6：买卖合同</w:t>
      </w:r>
    </w:p>
    <w:p>
      <w:pPr>
        <w:pStyle w:val="31"/>
        <w:ind w:firstLine="0" w:firstLineChars="0"/>
        <w:rPr>
          <w:b/>
          <w:color w:val="auto"/>
        </w:rPr>
      </w:pPr>
      <w:r>
        <w:rPr>
          <w:b/>
          <w:color w:val="auto"/>
        </w:rPr>
        <w:t>附图</w:t>
      </w:r>
    </w:p>
    <w:p>
      <w:pPr>
        <w:pStyle w:val="31"/>
        <w:ind w:firstLine="0" w:firstLineChars="0"/>
        <w:rPr>
          <w:color w:val="auto"/>
          <w:lang w:val="zh-CN"/>
        </w:rPr>
      </w:pPr>
      <w:r>
        <w:rPr>
          <w:color w:val="auto"/>
          <w:lang w:val="zh-CN"/>
        </w:rPr>
        <w:t>附图1：项目地理位置图</w:t>
      </w:r>
    </w:p>
    <w:p>
      <w:pPr>
        <w:pStyle w:val="31"/>
        <w:ind w:firstLine="0" w:firstLineChars="0"/>
        <w:rPr>
          <w:color w:val="auto"/>
          <w:lang w:val="zh-CN"/>
        </w:rPr>
      </w:pPr>
      <w:r>
        <w:rPr>
          <w:color w:val="auto"/>
          <w:lang w:val="zh-CN"/>
        </w:rPr>
        <w:t>附图2: 项目环境敏感目标</w:t>
      </w:r>
    </w:p>
    <w:p>
      <w:pPr>
        <w:pStyle w:val="31"/>
        <w:ind w:firstLine="0" w:firstLineChars="0"/>
        <w:rPr>
          <w:color w:val="auto"/>
        </w:rPr>
      </w:pPr>
      <w:r>
        <w:rPr>
          <w:color w:val="auto"/>
          <w:lang w:val="zh-CN"/>
        </w:rPr>
        <w:t>附图3：项目平面布置图</w:t>
      </w:r>
    </w:p>
    <w:p>
      <w:pPr>
        <w:pStyle w:val="31"/>
        <w:ind w:firstLine="0" w:firstLineChars="0"/>
        <w:rPr>
          <w:color w:val="auto"/>
          <w:lang w:val="zh-CN"/>
        </w:rPr>
      </w:pPr>
      <w:r>
        <w:rPr>
          <w:color w:val="auto"/>
          <w:lang w:val="zh-CN"/>
        </w:rPr>
        <w:t>附图4：厂区四周情况图</w:t>
      </w:r>
    </w:p>
    <w:p>
      <w:pPr>
        <w:spacing w:line="360" w:lineRule="auto"/>
        <w:contextualSpacing/>
        <w:rPr>
          <w:color w:val="auto"/>
          <w:sz w:val="24"/>
          <w:lang w:val="zh-CN"/>
        </w:rPr>
      </w:pPr>
      <w:r>
        <w:rPr>
          <w:color w:val="auto"/>
          <w:sz w:val="24"/>
          <w:lang w:val="zh-CN"/>
        </w:rPr>
        <w:t>附图5：绥化市环境管控单元图</w:t>
      </w:r>
    </w:p>
    <w:p>
      <w:pPr>
        <w:pStyle w:val="31"/>
        <w:ind w:firstLine="0" w:firstLineChars="0"/>
        <w:rPr>
          <w:rFonts w:hint="eastAsia"/>
          <w:color w:val="auto"/>
        </w:rPr>
        <w:sectPr>
          <w:footerReference r:id="rId3" w:type="default"/>
          <w:footerReference r:id="rId4" w:type="even"/>
          <w:pgSz w:w="11906" w:h="16838"/>
          <w:pgMar w:top="1701" w:right="1531" w:bottom="1701" w:left="1531" w:header="851" w:footer="1077" w:gutter="0"/>
          <w:pgNumType w:start="3"/>
          <w:cols w:space="720" w:num="1"/>
          <w:docGrid w:linePitch="312" w:charSpace="0"/>
        </w:sectPr>
      </w:pPr>
      <w:r>
        <w:rPr>
          <w:rFonts w:hint="eastAsia"/>
          <w:color w:val="auto"/>
          <w:lang w:val="zh-CN"/>
        </w:rPr>
        <w:t>附图</w:t>
      </w:r>
      <w:r>
        <w:rPr>
          <w:rFonts w:hint="eastAsia"/>
          <w:color w:val="auto"/>
          <w:lang w:val="zh-CN" w:eastAsia="zh-CN"/>
        </w:rPr>
        <w:t>6</w:t>
      </w:r>
      <w:r>
        <w:rPr>
          <w:rFonts w:hint="eastAsia"/>
          <w:color w:val="auto"/>
          <w:lang w:val="zh-CN"/>
        </w:rPr>
        <w:t>：环境现状监测点位图</w:t>
      </w:r>
    </w:p>
    <w:p>
      <w:pPr>
        <w:pStyle w:val="12"/>
        <w:jc w:val="center"/>
        <w:outlineLvl w:val="0"/>
        <w:rPr>
          <w:rFonts w:ascii="Times New Roman" w:hAnsi="Times New Roman"/>
          <w:snapToGrid w:val="0"/>
          <w:color w:val="auto"/>
          <w:sz w:val="30"/>
          <w:szCs w:val="30"/>
        </w:rPr>
      </w:pPr>
      <w:bookmarkStart w:id="5" w:name="_Toc152227240"/>
      <w:r>
        <w:rPr>
          <w:rFonts w:ascii="Times New Roman" w:hAnsi="Times New Roman"/>
          <w:snapToGrid w:val="0"/>
          <w:color w:val="auto"/>
          <w:sz w:val="30"/>
          <w:szCs w:val="30"/>
        </w:rPr>
        <w:t>一、建设项目基本情况</w:t>
      </w:r>
      <w:bookmarkEnd w:id="5"/>
    </w:p>
    <w:tbl>
      <w:tblPr>
        <w:tblStyle w:val="1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41"/>
        <w:gridCol w:w="3127"/>
        <w:gridCol w:w="1248"/>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41" w:type="dxa"/>
            <w:noWrap w:val="0"/>
            <w:tcMar>
              <w:top w:w="16" w:type="dxa"/>
              <w:left w:w="16" w:type="dxa"/>
              <w:right w:w="16" w:type="dxa"/>
            </w:tcMar>
            <w:vAlign w:val="center"/>
          </w:tcPr>
          <w:p>
            <w:pPr>
              <w:adjustRightInd w:val="0"/>
              <w:snapToGrid w:val="0"/>
              <w:jc w:val="center"/>
              <w:rPr>
                <w:color w:val="auto"/>
                <w:sz w:val="24"/>
              </w:rPr>
            </w:pPr>
            <w:r>
              <w:rPr>
                <w:color w:val="auto"/>
                <w:sz w:val="24"/>
              </w:rPr>
              <w:t>建设项目名称</w:t>
            </w:r>
          </w:p>
        </w:tc>
        <w:tc>
          <w:tcPr>
            <w:tcW w:w="7014" w:type="dxa"/>
            <w:gridSpan w:val="3"/>
            <w:noWrap w:val="0"/>
            <w:vAlign w:val="center"/>
          </w:tcPr>
          <w:p>
            <w:pPr>
              <w:adjustRightInd w:val="0"/>
              <w:snapToGrid w:val="0"/>
              <w:jc w:val="center"/>
              <w:rPr>
                <w:color w:val="auto"/>
                <w:sz w:val="24"/>
              </w:rPr>
            </w:pPr>
            <w:r>
              <w:rPr>
                <w:rFonts w:hint="eastAsia"/>
                <w:color w:val="auto"/>
                <w:sz w:val="24"/>
              </w:rPr>
              <w:t>2021年秸秆综合利用生物质锅炉绥化市和美物业管理有限公司直燃锅炉实际利用项目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41" w:type="dxa"/>
            <w:noWrap w:val="0"/>
            <w:tcMar>
              <w:top w:w="16" w:type="dxa"/>
              <w:left w:w="16" w:type="dxa"/>
              <w:right w:w="16" w:type="dxa"/>
            </w:tcMar>
            <w:vAlign w:val="center"/>
          </w:tcPr>
          <w:p>
            <w:pPr>
              <w:adjustRightInd w:val="0"/>
              <w:snapToGrid w:val="0"/>
              <w:jc w:val="center"/>
              <w:rPr>
                <w:color w:val="auto"/>
                <w:sz w:val="24"/>
              </w:rPr>
            </w:pPr>
            <w:r>
              <w:rPr>
                <w:color w:val="auto"/>
                <w:sz w:val="24"/>
              </w:rPr>
              <w:t>项目代码</w:t>
            </w:r>
          </w:p>
        </w:tc>
        <w:tc>
          <w:tcPr>
            <w:tcW w:w="7014" w:type="dxa"/>
            <w:gridSpan w:val="3"/>
            <w:noWrap w:val="0"/>
            <w:vAlign w:val="center"/>
          </w:tcPr>
          <w:p>
            <w:pPr>
              <w:adjustRightInd w:val="0"/>
              <w:snapToGrid w:val="0"/>
              <w:jc w:val="center"/>
              <w:rPr>
                <w:color w:val="auto"/>
                <w:sz w:val="24"/>
              </w:rPr>
            </w:pPr>
            <w:r>
              <w:rPr>
                <w:color w:val="auto"/>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41" w:type="dxa"/>
            <w:noWrap w:val="0"/>
            <w:tcMar>
              <w:top w:w="16" w:type="dxa"/>
              <w:left w:w="16" w:type="dxa"/>
              <w:right w:w="16" w:type="dxa"/>
            </w:tcMar>
            <w:vAlign w:val="center"/>
          </w:tcPr>
          <w:p>
            <w:pPr>
              <w:adjustRightInd w:val="0"/>
              <w:snapToGrid w:val="0"/>
              <w:jc w:val="center"/>
              <w:rPr>
                <w:color w:val="auto"/>
                <w:sz w:val="24"/>
              </w:rPr>
            </w:pPr>
            <w:r>
              <w:rPr>
                <w:color w:val="auto"/>
                <w:sz w:val="24"/>
              </w:rPr>
              <w:t>建设单位联系人</w:t>
            </w:r>
          </w:p>
        </w:tc>
        <w:tc>
          <w:tcPr>
            <w:tcW w:w="3127" w:type="dxa"/>
            <w:noWrap w:val="0"/>
            <w:vAlign w:val="center"/>
          </w:tcPr>
          <w:p>
            <w:pPr>
              <w:adjustRightInd w:val="0"/>
              <w:snapToGrid w:val="0"/>
              <w:jc w:val="center"/>
              <w:rPr>
                <w:rFonts w:hint="default" w:eastAsia="宋体"/>
                <w:color w:val="auto"/>
                <w:sz w:val="24"/>
                <w:lang w:val="en-US" w:eastAsia="zh-CN"/>
              </w:rPr>
            </w:pPr>
            <w:r>
              <w:rPr>
                <w:rFonts w:hAnsi="宋体"/>
                <w:color w:val="auto"/>
                <w:sz w:val="24"/>
              </w:rPr>
              <w:t>李</w:t>
            </w:r>
            <w:r>
              <w:rPr>
                <w:rFonts w:hint="eastAsia" w:hAnsi="宋体"/>
                <w:color w:val="auto"/>
                <w:sz w:val="24"/>
                <w:lang w:val="en-US" w:eastAsia="zh-CN"/>
              </w:rPr>
              <w:t>**</w:t>
            </w:r>
          </w:p>
        </w:tc>
        <w:tc>
          <w:tcPr>
            <w:tcW w:w="1248" w:type="dxa"/>
            <w:noWrap w:val="0"/>
            <w:vAlign w:val="center"/>
          </w:tcPr>
          <w:p>
            <w:pPr>
              <w:adjustRightInd w:val="0"/>
              <w:snapToGrid w:val="0"/>
              <w:jc w:val="center"/>
              <w:rPr>
                <w:color w:val="auto"/>
                <w:sz w:val="24"/>
              </w:rPr>
            </w:pPr>
            <w:r>
              <w:rPr>
                <w:color w:val="auto"/>
                <w:sz w:val="24"/>
              </w:rPr>
              <w:t>联系方式</w:t>
            </w:r>
          </w:p>
        </w:tc>
        <w:tc>
          <w:tcPr>
            <w:tcW w:w="2639" w:type="dxa"/>
            <w:noWrap w:val="0"/>
            <w:vAlign w:val="center"/>
          </w:tcPr>
          <w:p>
            <w:pPr>
              <w:adjustRightInd w:val="0"/>
              <w:snapToGrid w:val="0"/>
              <w:jc w:val="center"/>
              <w:rPr>
                <w:color w:val="auto"/>
                <w:sz w:val="24"/>
              </w:rPr>
            </w:pPr>
            <w:r>
              <w:rPr>
                <w:rFonts w:hint="eastAsia"/>
                <w:bCs/>
                <w:color w:val="auto"/>
                <w:sz w:val="24"/>
              </w:rPr>
              <w:t>13</w:t>
            </w:r>
            <w:r>
              <w:rPr>
                <w:rFonts w:hint="eastAsia"/>
                <w:bCs/>
                <w:color w:val="auto"/>
                <w:sz w:val="24"/>
                <w:lang w:val="en-US" w:eastAsia="zh-CN"/>
              </w:rPr>
              <w:t>*******</w:t>
            </w:r>
            <w:r>
              <w:rPr>
                <w:rFonts w:hint="eastAsia"/>
                <w:bCs/>
                <w:color w:val="auto"/>
                <w:sz w:val="24"/>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41" w:type="dxa"/>
            <w:noWrap w:val="0"/>
            <w:tcMar>
              <w:top w:w="16" w:type="dxa"/>
              <w:left w:w="16" w:type="dxa"/>
              <w:right w:w="16" w:type="dxa"/>
            </w:tcMar>
            <w:vAlign w:val="center"/>
          </w:tcPr>
          <w:p>
            <w:pPr>
              <w:adjustRightInd w:val="0"/>
              <w:snapToGrid w:val="0"/>
              <w:jc w:val="center"/>
              <w:rPr>
                <w:color w:val="auto"/>
                <w:sz w:val="24"/>
              </w:rPr>
            </w:pPr>
            <w:r>
              <w:rPr>
                <w:color w:val="auto"/>
                <w:sz w:val="24"/>
              </w:rPr>
              <w:t>建设地点</w:t>
            </w:r>
          </w:p>
        </w:tc>
        <w:tc>
          <w:tcPr>
            <w:tcW w:w="7014" w:type="dxa"/>
            <w:gridSpan w:val="3"/>
            <w:noWrap w:val="0"/>
            <w:vAlign w:val="center"/>
          </w:tcPr>
          <w:p>
            <w:pPr>
              <w:widowControl/>
              <w:jc w:val="center"/>
              <w:rPr>
                <w:color w:val="auto"/>
                <w:kern w:val="0"/>
                <w:sz w:val="24"/>
              </w:rPr>
            </w:pPr>
            <w:r>
              <w:rPr>
                <w:color w:val="auto"/>
                <w:kern w:val="0"/>
                <w:sz w:val="24"/>
              </w:rPr>
              <w:t>绥化市北林区东津镇原种子站西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41" w:type="dxa"/>
            <w:noWrap w:val="0"/>
            <w:tcMar>
              <w:top w:w="16" w:type="dxa"/>
              <w:left w:w="16" w:type="dxa"/>
              <w:right w:w="16" w:type="dxa"/>
            </w:tcMar>
            <w:vAlign w:val="center"/>
          </w:tcPr>
          <w:p>
            <w:pPr>
              <w:adjustRightInd w:val="0"/>
              <w:snapToGrid w:val="0"/>
              <w:jc w:val="center"/>
              <w:rPr>
                <w:color w:val="auto"/>
                <w:sz w:val="24"/>
              </w:rPr>
            </w:pPr>
            <w:r>
              <w:rPr>
                <w:color w:val="auto"/>
                <w:sz w:val="24"/>
              </w:rPr>
              <w:t>地理坐标</w:t>
            </w:r>
          </w:p>
        </w:tc>
        <w:tc>
          <w:tcPr>
            <w:tcW w:w="7014" w:type="dxa"/>
            <w:gridSpan w:val="3"/>
            <w:noWrap w:val="0"/>
            <w:vAlign w:val="center"/>
          </w:tcPr>
          <w:p>
            <w:pPr>
              <w:jc w:val="center"/>
              <w:rPr>
                <w:color w:val="auto"/>
                <w:sz w:val="24"/>
              </w:rPr>
            </w:pPr>
            <w:r>
              <w:rPr>
                <w:color w:val="auto"/>
                <w:sz w:val="24"/>
              </w:rPr>
              <w:t>（127度</w:t>
            </w:r>
            <w:r>
              <w:rPr>
                <w:rFonts w:hint="eastAsia"/>
                <w:color w:val="auto"/>
                <w:sz w:val="24"/>
              </w:rPr>
              <w:t>12</w:t>
            </w:r>
            <w:r>
              <w:rPr>
                <w:color w:val="auto"/>
                <w:sz w:val="24"/>
              </w:rPr>
              <w:t>分 2</w:t>
            </w:r>
            <w:r>
              <w:rPr>
                <w:rFonts w:hint="eastAsia"/>
                <w:color w:val="auto"/>
                <w:sz w:val="24"/>
              </w:rPr>
              <w:t>4</w:t>
            </w:r>
            <w:r>
              <w:rPr>
                <w:color w:val="auto"/>
                <w:sz w:val="24"/>
              </w:rPr>
              <w:t>.</w:t>
            </w:r>
            <w:r>
              <w:rPr>
                <w:rFonts w:hint="eastAsia"/>
                <w:color w:val="auto"/>
                <w:sz w:val="24"/>
              </w:rPr>
              <w:t>904</w:t>
            </w:r>
            <w:r>
              <w:rPr>
                <w:color w:val="auto"/>
                <w:sz w:val="24"/>
              </w:rPr>
              <w:t>秒，46度44分</w:t>
            </w:r>
            <w:r>
              <w:rPr>
                <w:rFonts w:hint="eastAsia"/>
                <w:color w:val="auto"/>
                <w:sz w:val="24"/>
              </w:rPr>
              <w:t>40</w:t>
            </w:r>
            <w:r>
              <w:rPr>
                <w:color w:val="auto"/>
                <w:sz w:val="24"/>
              </w:rPr>
              <w:t>.</w:t>
            </w:r>
            <w:r>
              <w:rPr>
                <w:rFonts w:hint="eastAsia"/>
                <w:color w:val="auto"/>
                <w:sz w:val="24"/>
              </w:rPr>
              <w:t>919</w:t>
            </w:r>
            <w:r>
              <w:rPr>
                <w:color w:val="auto"/>
                <w:sz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26" w:hRule="atLeast"/>
          <w:jc w:val="center"/>
        </w:trPr>
        <w:tc>
          <w:tcPr>
            <w:tcW w:w="1841" w:type="dxa"/>
            <w:noWrap w:val="0"/>
            <w:tcMar>
              <w:top w:w="16" w:type="dxa"/>
              <w:left w:w="16" w:type="dxa"/>
              <w:right w:w="16" w:type="dxa"/>
            </w:tcMar>
            <w:vAlign w:val="center"/>
          </w:tcPr>
          <w:p>
            <w:pPr>
              <w:adjustRightInd w:val="0"/>
              <w:snapToGrid w:val="0"/>
              <w:jc w:val="center"/>
              <w:rPr>
                <w:color w:val="auto"/>
                <w:sz w:val="24"/>
              </w:rPr>
            </w:pPr>
            <w:r>
              <w:rPr>
                <w:color w:val="auto"/>
                <w:sz w:val="24"/>
              </w:rPr>
              <w:t>国民经济</w:t>
            </w:r>
          </w:p>
          <w:p>
            <w:pPr>
              <w:adjustRightInd w:val="0"/>
              <w:snapToGrid w:val="0"/>
              <w:jc w:val="center"/>
              <w:rPr>
                <w:color w:val="auto"/>
                <w:sz w:val="24"/>
              </w:rPr>
            </w:pPr>
            <w:r>
              <w:rPr>
                <w:color w:val="auto"/>
                <w:sz w:val="24"/>
              </w:rPr>
              <w:t>行业类别</w:t>
            </w:r>
          </w:p>
        </w:tc>
        <w:tc>
          <w:tcPr>
            <w:tcW w:w="3127" w:type="dxa"/>
            <w:noWrap w:val="0"/>
            <w:vAlign w:val="center"/>
          </w:tcPr>
          <w:p>
            <w:pPr>
              <w:adjustRightInd w:val="0"/>
              <w:snapToGrid w:val="0"/>
              <w:rPr>
                <w:color w:val="auto"/>
                <w:sz w:val="24"/>
              </w:rPr>
            </w:pPr>
            <w:r>
              <w:rPr>
                <w:color w:val="auto"/>
                <w:sz w:val="24"/>
              </w:rPr>
              <w:t>D4330热力生产和供应</w:t>
            </w:r>
          </w:p>
        </w:tc>
        <w:tc>
          <w:tcPr>
            <w:tcW w:w="1248" w:type="dxa"/>
            <w:noWrap w:val="0"/>
            <w:vAlign w:val="center"/>
          </w:tcPr>
          <w:p>
            <w:pPr>
              <w:adjustRightInd w:val="0"/>
              <w:snapToGrid w:val="0"/>
              <w:jc w:val="center"/>
              <w:rPr>
                <w:color w:val="auto"/>
                <w:sz w:val="24"/>
              </w:rPr>
            </w:pPr>
            <w:bookmarkStart w:id="6" w:name="_Hlk49843745"/>
            <w:r>
              <w:rPr>
                <w:color w:val="auto"/>
                <w:sz w:val="24"/>
              </w:rPr>
              <w:t>建设项目</w:t>
            </w:r>
          </w:p>
          <w:p>
            <w:pPr>
              <w:adjustRightInd w:val="0"/>
              <w:snapToGrid w:val="0"/>
              <w:jc w:val="center"/>
              <w:rPr>
                <w:color w:val="auto"/>
                <w:sz w:val="24"/>
              </w:rPr>
            </w:pPr>
            <w:r>
              <w:rPr>
                <w:color w:val="auto"/>
                <w:sz w:val="24"/>
              </w:rPr>
              <w:t>行业类别</w:t>
            </w:r>
            <w:bookmarkEnd w:id="6"/>
          </w:p>
        </w:tc>
        <w:tc>
          <w:tcPr>
            <w:tcW w:w="2639" w:type="dxa"/>
            <w:noWrap w:val="0"/>
            <w:vAlign w:val="center"/>
          </w:tcPr>
          <w:p>
            <w:pPr>
              <w:adjustRightInd w:val="0"/>
              <w:snapToGrid w:val="0"/>
              <w:rPr>
                <w:color w:val="auto"/>
                <w:sz w:val="24"/>
              </w:rPr>
            </w:pPr>
            <w:r>
              <w:rPr>
                <w:color w:val="auto"/>
                <w:sz w:val="24"/>
              </w:rPr>
              <w:t>四十一、91、热力生产和供应工程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841" w:type="dxa"/>
            <w:noWrap w:val="0"/>
            <w:tcMar>
              <w:top w:w="16" w:type="dxa"/>
              <w:left w:w="16" w:type="dxa"/>
              <w:right w:w="16" w:type="dxa"/>
            </w:tcMar>
            <w:vAlign w:val="center"/>
          </w:tcPr>
          <w:p>
            <w:pPr>
              <w:adjustRightInd w:val="0"/>
              <w:snapToGrid w:val="0"/>
              <w:jc w:val="center"/>
              <w:rPr>
                <w:color w:val="auto"/>
                <w:sz w:val="24"/>
              </w:rPr>
            </w:pPr>
            <w:r>
              <w:rPr>
                <w:color w:val="auto"/>
                <w:sz w:val="24"/>
              </w:rPr>
              <w:t>建设性质</w:t>
            </w:r>
          </w:p>
        </w:tc>
        <w:tc>
          <w:tcPr>
            <w:tcW w:w="3127" w:type="dxa"/>
            <w:noWrap w:val="0"/>
            <w:vAlign w:val="center"/>
          </w:tcPr>
          <w:p>
            <w:pPr>
              <w:jc w:val="left"/>
              <w:rPr>
                <w:color w:val="auto"/>
                <w:sz w:val="24"/>
              </w:rPr>
            </w:pPr>
            <w:r>
              <w:rPr>
                <w:rFonts w:ascii="Segoe UI Symbol" w:hAnsi="Segoe UI Symbol" w:cs="Segoe UI Symbol"/>
                <w:color w:val="auto"/>
                <w:sz w:val="24"/>
              </w:rPr>
              <w:t>☑</w:t>
            </w:r>
            <w:r>
              <w:rPr>
                <w:color w:val="auto"/>
                <w:sz w:val="24"/>
              </w:rPr>
              <w:t>新建（迁建）</w:t>
            </w:r>
          </w:p>
          <w:p>
            <w:pPr>
              <w:jc w:val="left"/>
              <w:rPr>
                <w:color w:val="auto"/>
                <w:sz w:val="24"/>
              </w:rPr>
            </w:pPr>
            <w:r>
              <w:rPr>
                <w:color w:val="auto"/>
                <w:sz w:val="24"/>
              </w:rPr>
              <w:t>□改建</w:t>
            </w:r>
          </w:p>
          <w:p>
            <w:pPr>
              <w:jc w:val="left"/>
              <w:rPr>
                <w:color w:val="auto"/>
                <w:sz w:val="24"/>
              </w:rPr>
            </w:pPr>
            <w:r>
              <w:rPr>
                <w:color w:val="auto"/>
                <w:sz w:val="24"/>
              </w:rPr>
              <w:t>□扩建</w:t>
            </w:r>
          </w:p>
          <w:p>
            <w:pPr>
              <w:jc w:val="left"/>
              <w:rPr>
                <w:color w:val="auto"/>
                <w:sz w:val="24"/>
              </w:rPr>
            </w:pPr>
            <w:r>
              <w:rPr>
                <w:color w:val="auto"/>
                <w:sz w:val="24"/>
              </w:rPr>
              <w:t>□技术改造</w:t>
            </w:r>
          </w:p>
        </w:tc>
        <w:tc>
          <w:tcPr>
            <w:tcW w:w="1248" w:type="dxa"/>
            <w:noWrap w:val="0"/>
            <w:vAlign w:val="center"/>
          </w:tcPr>
          <w:p>
            <w:pPr>
              <w:adjustRightInd w:val="0"/>
              <w:snapToGrid w:val="0"/>
              <w:jc w:val="center"/>
              <w:rPr>
                <w:color w:val="auto"/>
                <w:sz w:val="24"/>
              </w:rPr>
            </w:pPr>
            <w:r>
              <w:rPr>
                <w:color w:val="auto"/>
                <w:sz w:val="24"/>
              </w:rPr>
              <w:t>建设项目</w:t>
            </w:r>
          </w:p>
          <w:p>
            <w:pPr>
              <w:adjustRightInd w:val="0"/>
              <w:snapToGrid w:val="0"/>
              <w:jc w:val="center"/>
              <w:rPr>
                <w:color w:val="auto"/>
                <w:sz w:val="24"/>
              </w:rPr>
            </w:pPr>
            <w:r>
              <w:rPr>
                <w:color w:val="auto"/>
                <w:sz w:val="24"/>
              </w:rPr>
              <w:t>申报情形</w:t>
            </w:r>
          </w:p>
        </w:tc>
        <w:tc>
          <w:tcPr>
            <w:tcW w:w="2639" w:type="dxa"/>
            <w:noWrap w:val="0"/>
            <w:vAlign w:val="center"/>
          </w:tcPr>
          <w:p>
            <w:pPr>
              <w:jc w:val="left"/>
              <w:rPr>
                <w:color w:val="auto"/>
                <w:sz w:val="24"/>
              </w:rPr>
            </w:pPr>
            <w:r>
              <w:rPr>
                <w:rFonts w:ascii="Segoe UI Symbol" w:hAnsi="Segoe UI Symbol" w:cs="Segoe UI Symbol"/>
                <w:color w:val="auto"/>
                <w:sz w:val="24"/>
              </w:rPr>
              <w:t>☑</w:t>
            </w:r>
            <w:r>
              <w:rPr>
                <w:color w:val="auto"/>
                <w:sz w:val="24"/>
              </w:rPr>
              <w:t xml:space="preserve">首次申报项目             </w:t>
            </w:r>
          </w:p>
          <w:p>
            <w:pPr>
              <w:jc w:val="left"/>
              <w:rPr>
                <w:color w:val="auto"/>
                <w:sz w:val="24"/>
              </w:rPr>
            </w:pPr>
            <w:r>
              <w:rPr>
                <w:color w:val="auto"/>
                <w:sz w:val="24"/>
              </w:rPr>
              <w:t>□不予批准后再次申报项目</w:t>
            </w:r>
          </w:p>
          <w:p>
            <w:pPr>
              <w:jc w:val="left"/>
              <w:rPr>
                <w:color w:val="auto"/>
                <w:sz w:val="24"/>
              </w:rPr>
            </w:pPr>
            <w:r>
              <w:rPr>
                <w:color w:val="auto"/>
                <w:sz w:val="24"/>
              </w:rPr>
              <w:sym w:font="Wingdings 2" w:char="00A3"/>
            </w:r>
            <w:r>
              <w:rPr>
                <w:color w:val="auto"/>
                <w:sz w:val="24"/>
              </w:rPr>
              <w:t xml:space="preserve">超五年重新审核项目     </w:t>
            </w:r>
          </w:p>
          <w:p>
            <w:pPr>
              <w:jc w:val="left"/>
              <w:rPr>
                <w:color w:val="auto"/>
                <w:sz w:val="24"/>
              </w:rPr>
            </w:pPr>
            <w:r>
              <w:rPr>
                <w:color w:val="auto"/>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841" w:type="dxa"/>
            <w:noWrap w:val="0"/>
            <w:tcMar>
              <w:top w:w="16" w:type="dxa"/>
              <w:left w:w="16" w:type="dxa"/>
              <w:right w:w="16" w:type="dxa"/>
            </w:tcMar>
            <w:vAlign w:val="center"/>
          </w:tcPr>
          <w:p>
            <w:pPr>
              <w:adjustRightInd w:val="0"/>
              <w:snapToGrid w:val="0"/>
              <w:jc w:val="center"/>
              <w:rPr>
                <w:color w:val="auto"/>
                <w:sz w:val="24"/>
              </w:rPr>
            </w:pPr>
            <w:r>
              <w:rPr>
                <w:color w:val="auto"/>
                <w:sz w:val="24"/>
              </w:rPr>
              <w:t>项目审批（核准/</w:t>
            </w:r>
          </w:p>
          <w:p>
            <w:pPr>
              <w:adjustRightInd w:val="0"/>
              <w:snapToGrid w:val="0"/>
              <w:jc w:val="center"/>
              <w:rPr>
                <w:color w:val="auto"/>
                <w:sz w:val="24"/>
              </w:rPr>
            </w:pPr>
            <w:r>
              <w:rPr>
                <w:color w:val="auto"/>
                <w:sz w:val="24"/>
              </w:rPr>
              <w:t>备案）部门（选填）</w:t>
            </w:r>
          </w:p>
        </w:tc>
        <w:tc>
          <w:tcPr>
            <w:tcW w:w="3127" w:type="dxa"/>
            <w:noWrap w:val="0"/>
            <w:vAlign w:val="center"/>
          </w:tcPr>
          <w:p>
            <w:pPr>
              <w:adjustRightInd w:val="0"/>
              <w:snapToGrid w:val="0"/>
              <w:jc w:val="center"/>
              <w:rPr>
                <w:color w:val="auto"/>
                <w:sz w:val="24"/>
              </w:rPr>
            </w:pPr>
            <w:r>
              <w:rPr>
                <w:color w:val="auto"/>
                <w:sz w:val="24"/>
              </w:rPr>
              <w:t>无</w:t>
            </w:r>
          </w:p>
        </w:tc>
        <w:tc>
          <w:tcPr>
            <w:tcW w:w="1248" w:type="dxa"/>
            <w:noWrap w:val="0"/>
            <w:vAlign w:val="center"/>
          </w:tcPr>
          <w:p>
            <w:pPr>
              <w:adjustRightInd w:val="0"/>
              <w:snapToGrid w:val="0"/>
              <w:jc w:val="center"/>
              <w:rPr>
                <w:color w:val="auto"/>
                <w:sz w:val="24"/>
              </w:rPr>
            </w:pPr>
            <w:r>
              <w:rPr>
                <w:color w:val="auto"/>
                <w:sz w:val="24"/>
              </w:rPr>
              <w:t>项目审批（核准/</w:t>
            </w:r>
          </w:p>
          <w:p>
            <w:pPr>
              <w:adjustRightInd w:val="0"/>
              <w:snapToGrid w:val="0"/>
              <w:jc w:val="center"/>
              <w:rPr>
                <w:color w:val="auto"/>
                <w:sz w:val="24"/>
              </w:rPr>
            </w:pPr>
            <w:r>
              <w:rPr>
                <w:color w:val="auto"/>
                <w:sz w:val="24"/>
              </w:rPr>
              <w:t>备案）文号（选填）</w:t>
            </w:r>
          </w:p>
        </w:tc>
        <w:tc>
          <w:tcPr>
            <w:tcW w:w="2639" w:type="dxa"/>
            <w:noWrap w:val="0"/>
            <w:vAlign w:val="center"/>
          </w:tcPr>
          <w:p>
            <w:pPr>
              <w:adjustRightInd w:val="0"/>
              <w:snapToGrid w:val="0"/>
              <w:jc w:val="center"/>
              <w:rPr>
                <w:color w:val="auto"/>
                <w:sz w:val="24"/>
              </w:rPr>
            </w:pPr>
            <w:r>
              <w:rPr>
                <w:color w:val="auto"/>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41" w:type="dxa"/>
            <w:noWrap w:val="0"/>
            <w:tcMar>
              <w:top w:w="16" w:type="dxa"/>
              <w:left w:w="16" w:type="dxa"/>
              <w:right w:w="16" w:type="dxa"/>
            </w:tcMar>
            <w:vAlign w:val="center"/>
          </w:tcPr>
          <w:p>
            <w:pPr>
              <w:adjustRightInd w:val="0"/>
              <w:snapToGrid w:val="0"/>
              <w:jc w:val="center"/>
              <w:rPr>
                <w:color w:val="auto"/>
                <w:sz w:val="24"/>
              </w:rPr>
            </w:pPr>
            <w:r>
              <w:rPr>
                <w:color w:val="auto"/>
                <w:sz w:val="24"/>
              </w:rPr>
              <w:t>总投资（万元）</w:t>
            </w:r>
          </w:p>
        </w:tc>
        <w:tc>
          <w:tcPr>
            <w:tcW w:w="3127" w:type="dxa"/>
            <w:noWrap w:val="0"/>
            <w:vAlign w:val="center"/>
          </w:tcPr>
          <w:p>
            <w:pPr>
              <w:adjustRightInd w:val="0"/>
              <w:snapToGrid w:val="0"/>
              <w:jc w:val="center"/>
              <w:rPr>
                <w:color w:val="auto"/>
                <w:sz w:val="24"/>
                <w:highlight w:val="yellow"/>
              </w:rPr>
            </w:pPr>
            <w:r>
              <w:rPr>
                <w:rFonts w:hint="eastAsia"/>
                <w:color w:val="auto"/>
                <w:kern w:val="0"/>
                <w:sz w:val="24"/>
              </w:rPr>
              <w:t>300</w:t>
            </w:r>
          </w:p>
        </w:tc>
        <w:tc>
          <w:tcPr>
            <w:tcW w:w="1248" w:type="dxa"/>
            <w:noWrap w:val="0"/>
            <w:tcMar>
              <w:top w:w="16" w:type="dxa"/>
              <w:left w:w="16" w:type="dxa"/>
              <w:right w:w="16" w:type="dxa"/>
            </w:tcMar>
            <w:vAlign w:val="center"/>
          </w:tcPr>
          <w:p>
            <w:pPr>
              <w:adjustRightInd w:val="0"/>
              <w:snapToGrid w:val="0"/>
              <w:jc w:val="center"/>
              <w:rPr>
                <w:color w:val="auto"/>
                <w:sz w:val="24"/>
              </w:rPr>
            </w:pPr>
            <w:r>
              <w:rPr>
                <w:color w:val="auto"/>
                <w:sz w:val="24"/>
              </w:rPr>
              <w:t>环保投资（万元）</w:t>
            </w:r>
          </w:p>
        </w:tc>
        <w:tc>
          <w:tcPr>
            <w:tcW w:w="2639" w:type="dxa"/>
            <w:noWrap w:val="0"/>
            <w:vAlign w:val="center"/>
          </w:tcPr>
          <w:p>
            <w:pPr>
              <w:adjustRightInd w:val="0"/>
              <w:snapToGrid w:val="0"/>
              <w:jc w:val="center"/>
              <w:rPr>
                <w:color w:val="auto"/>
                <w:sz w:val="24"/>
              </w:rPr>
            </w:pPr>
            <w:r>
              <w:rPr>
                <w:color w:val="auto"/>
                <w:sz w:val="24"/>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41" w:type="dxa"/>
            <w:noWrap w:val="0"/>
            <w:tcMar>
              <w:top w:w="16" w:type="dxa"/>
              <w:left w:w="16" w:type="dxa"/>
              <w:right w:w="16" w:type="dxa"/>
            </w:tcMar>
            <w:vAlign w:val="center"/>
          </w:tcPr>
          <w:p>
            <w:pPr>
              <w:adjustRightInd w:val="0"/>
              <w:snapToGrid w:val="0"/>
              <w:jc w:val="center"/>
              <w:rPr>
                <w:color w:val="auto"/>
                <w:sz w:val="24"/>
              </w:rPr>
            </w:pPr>
            <w:r>
              <w:rPr>
                <w:color w:val="auto"/>
                <w:sz w:val="24"/>
              </w:rPr>
              <w:t>环保投资占比（%）</w:t>
            </w:r>
          </w:p>
        </w:tc>
        <w:tc>
          <w:tcPr>
            <w:tcW w:w="3127" w:type="dxa"/>
            <w:noWrap w:val="0"/>
            <w:vAlign w:val="center"/>
          </w:tcPr>
          <w:p>
            <w:pPr>
              <w:pStyle w:val="32"/>
              <w:spacing w:line="240" w:lineRule="auto"/>
              <w:rPr>
                <w:rFonts w:eastAsia="宋体"/>
                <w:color w:val="auto"/>
                <w:highlight w:val="yellow"/>
              </w:rPr>
            </w:pPr>
            <w:r>
              <w:rPr>
                <w:rFonts w:hint="eastAsia" w:eastAsia="宋体"/>
                <w:color w:val="auto"/>
                <w:sz w:val="24"/>
                <w:szCs w:val="24"/>
              </w:rPr>
              <w:t>3</w:t>
            </w:r>
          </w:p>
        </w:tc>
        <w:tc>
          <w:tcPr>
            <w:tcW w:w="1248" w:type="dxa"/>
            <w:noWrap w:val="0"/>
            <w:tcMar>
              <w:top w:w="16" w:type="dxa"/>
              <w:left w:w="16" w:type="dxa"/>
              <w:right w:w="16" w:type="dxa"/>
            </w:tcMar>
            <w:vAlign w:val="center"/>
          </w:tcPr>
          <w:p>
            <w:pPr>
              <w:adjustRightInd w:val="0"/>
              <w:snapToGrid w:val="0"/>
              <w:jc w:val="center"/>
              <w:rPr>
                <w:color w:val="auto"/>
                <w:sz w:val="24"/>
              </w:rPr>
            </w:pPr>
            <w:r>
              <w:rPr>
                <w:color w:val="auto"/>
                <w:sz w:val="24"/>
              </w:rPr>
              <w:t>施工工期</w:t>
            </w:r>
          </w:p>
        </w:tc>
        <w:tc>
          <w:tcPr>
            <w:tcW w:w="2639" w:type="dxa"/>
            <w:noWrap w:val="0"/>
            <w:vAlign w:val="center"/>
          </w:tcPr>
          <w:p>
            <w:pPr>
              <w:adjustRightInd w:val="0"/>
              <w:snapToGrid w:val="0"/>
              <w:jc w:val="center"/>
              <w:rPr>
                <w:color w:val="auto"/>
                <w:sz w:val="24"/>
              </w:rPr>
            </w:pPr>
            <w:r>
              <w:rPr>
                <w:color w:val="auto"/>
                <w:sz w:val="24"/>
              </w:rPr>
              <w:t>2024年4月~</w:t>
            </w:r>
            <w:r>
              <w:rPr>
                <w:rFonts w:hint="eastAsia"/>
                <w:color w:val="auto"/>
                <w:sz w:val="24"/>
              </w:rPr>
              <w:t>5</w:t>
            </w:r>
            <w:r>
              <w:rPr>
                <w:color w:val="auto"/>
                <w:sz w:val="24"/>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41" w:type="dxa"/>
            <w:noWrap w:val="0"/>
            <w:tcMar>
              <w:top w:w="16" w:type="dxa"/>
              <w:left w:w="16" w:type="dxa"/>
              <w:right w:w="16" w:type="dxa"/>
            </w:tcMar>
            <w:vAlign w:val="center"/>
          </w:tcPr>
          <w:p>
            <w:pPr>
              <w:adjustRightInd w:val="0"/>
              <w:snapToGrid w:val="0"/>
              <w:jc w:val="center"/>
              <w:rPr>
                <w:color w:val="auto"/>
                <w:sz w:val="24"/>
              </w:rPr>
            </w:pPr>
            <w:r>
              <w:rPr>
                <w:color w:val="auto"/>
                <w:sz w:val="24"/>
              </w:rPr>
              <w:t>是否开工建设</w:t>
            </w:r>
          </w:p>
        </w:tc>
        <w:tc>
          <w:tcPr>
            <w:tcW w:w="3127" w:type="dxa"/>
            <w:noWrap w:val="0"/>
            <w:vAlign w:val="center"/>
          </w:tcPr>
          <w:p>
            <w:pPr>
              <w:adjustRightInd w:val="0"/>
              <w:snapToGrid w:val="0"/>
              <w:rPr>
                <w:color w:val="auto"/>
                <w:sz w:val="24"/>
              </w:rPr>
            </w:pPr>
            <w:r>
              <w:rPr>
                <w:color w:val="auto"/>
                <w:sz w:val="24"/>
              </w:rPr>
              <w:sym w:font="Wingdings 2" w:char="00A3"/>
            </w:r>
            <w:r>
              <w:rPr>
                <w:color w:val="auto"/>
                <w:sz w:val="24"/>
              </w:rPr>
              <w:t>否</w:t>
            </w:r>
          </w:p>
          <w:p>
            <w:pPr>
              <w:adjustRightInd w:val="0"/>
              <w:snapToGrid w:val="0"/>
              <w:rPr>
                <w:color w:val="auto"/>
                <w:sz w:val="24"/>
              </w:rPr>
            </w:pPr>
            <w:r>
              <w:rPr>
                <w:color w:val="auto"/>
                <w:sz w:val="24"/>
              </w:rPr>
              <w:sym w:font="Wingdings 2" w:char="0052"/>
            </w:r>
            <w:r>
              <w:rPr>
                <w:color w:val="auto"/>
                <w:sz w:val="24"/>
              </w:rPr>
              <w:t>是：</w:t>
            </w:r>
            <w:r>
              <w:rPr>
                <w:rFonts w:hAnsi="宋体"/>
                <w:color w:val="auto"/>
                <w:sz w:val="24"/>
                <w:u w:val="single"/>
              </w:rPr>
              <w:t>锅炉及配套附属设施于2021年建设完成，原工程未办理环评手续，现转让给本公司，本次主动办理环保手续，未受到环保局处罚</w:t>
            </w:r>
            <w:r>
              <w:rPr>
                <w:rFonts w:hint="eastAsia" w:hAnsi="宋体"/>
                <w:color w:val="auto"/>
                <w:sz w:val="24"/>
                <w:u w:val="single"/>
              </w:rPr>
              <w:t>。</w:t>
            </w:r>
          </w:p>
        </w:tc>
        <w:tc>
          <w:tcPr>
            <w:tcW w:w="1248" w:type="dxa"/>
            <w:noWrap w:val="0"/>
            <w:tcMar>
              <w:top w:w="16" w:type="dxa"/>
              <w:left w:w="16" w:type="dxa"/>
              <w:right w:w="16" w:type="dxa"/>
            </w:tcMar>
            <w:vAlign w:val="center"/>
          </w:tcPr>
          <w:p>
            <w:pPr>
              <w:adjustRightInd w:val="0"/>
              <w:snapToGrid w:val="0"/>
              <w:jc w:val="center"/>
              <w:rPr>
                <w:color w:val="auto"/>
                <w:spacing w:val="-6"/>
                <w:sz w:val="24"/>
              </w:rPr>
            </w:pPr>
            <w:r>
              <w:rPr>
                <w:color w:val="auto"/>
                <w:spacing w:val="-6"/>
                <w:sz w:val="24"/>
              </w:rPr>
              <w:t>用地（用海）</w:t>
            </w:r>
          </w:p>
          <w:p>
            <w:pPr>
              <w:adjustRightInd w:val="0"/>
              <w:snapToGrid w:val="0"/>
              <w:jc w:val="center"/>
              <w:rPr>
                <w:color w:val="auto"/>
                <w:sz w:val="24"/>
                <w:highlight w:val="yellow"/>
              </w:rPr>
            </w:pPr>
            <w:r>
              <w:rPr>
                <w:color w:val="auto"/>
                <w:spacing w:val="-6"/>
                <w:sz w:val="24"/>
              </w:rPr>
              <w:t>面积（m</w:t>
            </w:r>
            <w:r>
              <w:rPr>
                <w:color w:val="auto"/>
                <w:spacing w:val="-6"/>
                <w:sz w:val="24"/>
                <w:vertAlign w:val="superscript"/>
              </w:rPr>
              <w:t>2</w:t>
            </w:r>
            <w:r>
              <w:rPr>
                <w:color w:val="auto"/>
                <w:spacing w:val="-6"/>
                <w:sz w:val="24"/>
              </w:rPr>
              <w:t>）</w:t>
            </w:r>
          </w:p>
        </w:tc>
        <w:tc>
          <w:tcPr>
            <w:tcW w:w="2639" w:type="dxa"/>
            <w:noWrap w:val="0"/>
            <w:vAlign w:val="center"/>
          </w:tcPr>
          <w:p>
            <w:pPr>
              <w:adjustRightInd w:val="0"/>
              <w:snapToGrid w:val="0"/>
              <w:jc w:val="center"/>
              <w:rPr>
                <w:color w:val="auto"/>
                <w:sz w:val="24"/>
              </w:rPr>
            </w:pPr>
            <w:r>
              <w:rPr>
                <w:rFonts w:hint="eastAsia"/>
                <w:color w:val="auto"/>
                <w:sz w:val="24"/>
              </w:rPr>
              <w:t>5800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841" w:type="dxa"/>
            <w:noWrap w:val="0"/>
            <w:vAlign w:val="center"/>
          </w:tcPr>
          <w:p>
            <w:pPr>
              <w:autoSpaceDE w:val="0"/>
              <w:autoSpaceDN w:val="0"/>
              <w:adjustRightInd w:val="0"/>
              <w:snapToGrid w:val="0"/>
              <w:jc w:val="center"/>
              <w:rPr>
                <w:color w:val="auto"/>
                <w:kern w:val="0"/>
                <w:sz w:val="24"/>
              </w:rPr>
            </w:pPr>
            <w:r>
              <w:rPr>
                <w:color w:val="auto"/>
                <w:kern w:val="0"/>
                <w:sz w:val="24"/>
              </w:rPr>
              <w:t>专项评价设置情况</w:t>
            </w:r>
          </w:p>
        </w:tc>
        <w:tc>
          <w:tcPr>
            <w:tcW w:w="7014" w:type="dxa"/>
            <w:gridSpan w:val="3"/>
            <w:noWrap w:val="0"/>
            <w:vAlign w:val="center"/>
          </w:tcPr>
          <w:p>
            <w:pPr>
              <w:autoSpaceDE w:val="0"/>
              <w:autoSpaceDN w:val="0"/>
              <w:adjustRightInd w:val="0"/>
              <w:snapToGrid w:val="0"/>
              <w:jc w:val="center"/>
              <w:rPr>
                <w:color w:val="auto"/>
                <w:kern w:val="0"/>
                <w:sz w:val="24"/>
              </w:rPr>
            </w:pPr>
            <w:r>
              <w:rPr>
                <w:color w:val="auto"/>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841" w:type="dxa"/>
            <w:noWrap w:val="0"/>
            <w:vAlign w:val="center"/>
          </w:tcPr>
          <w:p>
            <w:pPr>
              <w:autoSpaceDE w:val="0"/>
              <w:autoSpaceDN w:val="0"/>
              <w:adjustRightInd w:val="0"/>
              <w:snapToGrid w:val="0"/>
              <w:jc w:val="center"/>
              <w:rPr>
                <w:color w:val="auto"/>
                <w:kern w:val="0"/>
                <w:sz w:val="24"/>
              </w:rPr>
            </w:pPr>
            <w:r>
              <w:rPr>
                <w:color w:val="auto"/>
                <w:sz w:val="24"/>
              </w:rPr>
              <w:t>规划情况</w:t>
            </w:r>
          </w:p>
        </w:tc>
        <w:tc>
          <w:tcPr>
            <w:tcW w:w="7014" w:type="dxa"/>
            <w:gridSpan w:val="3"/>
            <w:noWrap w:val="0"/>
            <w:vAlign w:val="center"/>
          </w:tcPr>
          <w:p>
            <w:pPr>
              <w:autoSpaceDE w:val="0"/>
              <w:autoSpaceDN w:val="0"/>
              <w:adjustRightInd w:val="0"/>
              <w:snapToGrid w:val="0"/>
              <w:jc w:val="center"/>
              <w:rPr>
                <w:color w:val="auto"/>
                <w:kern w:val="0"/>
                <w:sz w:val="24"/>
              </w:rPr>
            </w:pPr>
            <w:r>
              <w:rPr>
                <w:color w:val="auto"/>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841" w:type="dxa"/>
            <w:noWrap w:val="0"/>
            <w:vAlign w:val="center"/>
          </w:tcPr>
          <w:p>
            <w:pPr>
              <w:adjustRightInd w:val="0"/>
              <w:snapToGrid w:val="0"/>
              <w:jc w:val="center"/>
              <w:rPr>
                <w:color w:val="auto"/>
                <w:sz w:val="24"/>
              </w:rPr>
            </w:pPr>
            <w:r>
              <w:rPr>
                <w:color w:val="auto"/>
                <w:sz w:val="24"/>
              </w:rPr>
              <w:t>规划环境影响</w:t>
            </w:r>
          </w:p>
          <w:p>
            <w:pPr>
              <w:adjustRightInd w:val="0"/>
              <w:snapToGrid w:val="0"/>
              <w:jc w:val="center"/>
              <w:rPr>
                <w:color w:val="auto"/>
                <w:kern w:val="0"/>
                <w:sz w:val="24"/>
              </w:rPr>
            </w:pPr>
            <w:r>
              <w:rPr>
                <w:color w:val="auto"/>
                <w:sz w:val="24"/>
              </w:rPr>
              <w:t>评价情况</w:t>
            </w:r>
          </w:p>
        </w:tc>
        <w:tc>
          <w:tcPr>
            <w:tcW w:w="7014" w:type="dxa"/>
            <w:gridSpan w:val="3"/>
            <w:noWrap w:val="0"/>
            <w:vAlign w:val="center"/>
          </w:tcPr>
          <w:p>
            <w:pPr>
              <w:autoSpaceDE w:val="0"/>
              <w:autoSpaceDN w:val="0"/>
              <w:adjustRightInd w:val="0"/>
              <w:snapToGrid w:val="0"/>
              <w:jc w:val="center"/>
              <w:rPr>
                <w:color w:val="auto"/>
                <w:kern w:val="0"/>
                <w:sz w:val="24"/>
              </w:rPr>
            </w:pPr>
            <w:r>
              <w:rPr>
                <w:color w:val="auto"/>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841" w:type="dxa"/>
            <w:noWrap w:val="0"/>
            <w:vAlign w:val="center"/>
          </w:tcPr>
          <w:p>
            <w:pPr>
              <w:autoSpaceDE w:val="0"/>
              <w:autoSpaceDN w:val="0"/>
              <w:adjustRightInd w:val="0"/>
              <w:snapToGrid w:val="0"/>
              <w:jc w:val="center"/>
              <w:rPr>
                <w:color w:val="auto"/>
                <w:kern w:val="0"/>
                <w:sz w:val="24"/>
              </w:rPr>
            </w:pPr>
            <w:r>
              <w:rPr>
                <w:color w:val="auto"/>
                <w:kern w:val="0"/>
                <w:sz w:val="24"/>
              </w:rPr>
              <w:t>规划及规划环境影响评价符合性分析</w:t>
            </w:r>
          </w:p>
        </w:tc>
        <w:tc>
          <w:tcPr>
            <w:tcW w:w="7014" w:type="dxa"/>
            <w:gridSpan w:val="3"/>
            <w:noWrap w:val="0"/>
            <w:vAlign w:val="center"/>
          </w:tcPr>
          <w:p>
            <w:pPr>
              <w:autoSpaceDE w:val="0"/>
              <w:autoSpaceDN w:val="0"/>
              <w:adjustRightInd w:val="0"/>
              <w:snapToGrid w:val="0"/>
              <w:jc w:val="center"/>
              <w:rPr>
                <w:color w:val="auto"/>
                <w:kern w:val="0"/>
                <w:sz w:val="24"/>
              </w:rPr>
            </w:pPr>
            <w:r>
              <w:rPr>
                <w:color w:val="auto"/>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35" w:hRule="atLeast"/>
          <w:jc w:val="center"/>
        </w:trPr>
        <w:tc>
          <w:tcPr>
            <w:tcW w:w="1841" w:type="dxa"/>
            <w:noWrap w:val="0"/>
            <w:vAlign w:val="center"/>
          </w:tcPr>
          <w:p>
            <w:pPr>
              <w:autoSpaceDE w:val="0"/>
              <w:autoSpaceDN w:val="0"/>
              <w:adjustRightInd w:val="0"/>
              <w:snapToGrid w:val="0"/>
              <w:jc w:val="center"/>
              <w:rPr>
                <w:color w:val="auto"/>
                <w:kern w:val="0"/>
                <w:sz w:val="24"/>
              </w:rPr>
            </w:pPr>
            <w:r>
              <w:rPr>
                <w:color w:val="auto"/>
                <w:kern w:val="0"/>
                <w:sz w:val="24"/>
              </w:rPr>
              <w:t>其他符合性分析</w:t>
            </w:r>
          </w:p>
        </w:tc>
        <w:tc>
          <w:tcPr>
            <w:tcW w:w="7014" w:type="dxa"/>
            <w:gridSpan w:val="3"/>
            <w:noWrap w:val="0"/>
            <w:vAlign w:val="center"/>
          </w:tcPr>
          <w:p>
            <w:pPr>
              <w:pStyle w:val="33"/>
              <w:spacing w:line="360" w:lineRule="auto"/>
              <w:ind w:firstLine="419" w:firstLineChars="174"/>
              <w:jc w:val="left"/>
              <w:rPr>
                <w:b/>
                <w:color w:val="auto"/>
                <w:kern w:val="0"/>
                <w:sz w:val="24"/>
              </w:rPr>
            </w:pPr>
            <w:r>
              <w:rPr>
                <w:b/>
                <w:color w:val="auto"/>
                <w:kern w:val="0"/>
                <w:sz w:val="24"/>
              </w:rPr>
              <w:t>1、产业政策</w:t>
            </w:r>
          </w:p>
          <w:p>
            <w:pPr>
              <w:autoSpaceDE w:val="0"/>
              <w:autoSpaceDN w:val="0"/>
              <w:spacing w:line="360" w:lineRule="auto"/>
              <w:ind w:firstLine="480" w:firstLineChars="200"/>
              <w:rPr>
                <w:color w:val="auto"/>
                <w:sz w:val="24"/>
                <w:lang w:bidi="ar"/>
              </w:rPr>
            </w:pPr>
            <w:r>
              <w:rPr>
                <w:color w:val="auto"/>
                <w:sz w:val="24"/>
                <w:lang w:bidi="ar"/>
              </w:rPr>
              <w:t>根据《产业结构调整指导目录（2024年本）》，本项目不属于</w:t>
            </w:r>
            <w:r>
              <w:rPr>
                <w:bCs/>
                <w:color w:val="auto"/>
                <w:sz w:val="24"/>
                <w:lang w:bidi="ar"/>
              </w:rPr>
              <w:t>“限制类”和“淘汰类”项目，属于允许类，符合国家产业政策。</w:t>
            </w:r>
          </w:p>
          <w:p>
            <w:pPr>
              <w:spacing w:line="360" w:lineRule="auto"/>
              <w:ind w:firstLine="422" w:firstLineChars="175"/>
              <w:rPr>
                <w:b/>
                <w:color w:val="auto"/>
                <w:sz w:val="24"/>
                <w:lang w:bidi="ar"/>
              </w:rPr>
            </w:pPr>
            <w:r>
              <w:rPr>
                <w:b/>
                <w:color w:val="auto"/>
                <w:kern w:val="0"/>
                <w:sz w:val="24"/>
              </w:rPr>
              <w:t>2、</w:t>
            </w:r>
            <w:r>
              <w:rPr>
                <w:b/>
                <w:color w:val="auto"/>
                <w:sz w:val="24"/>
                <w:lang w:bidi="ar"/>
              </w:rPr>
              <w:t>与《黑龙江省大气污染防治条例》符合性分析</w:t>
            </w:r>
          </w:p>
          <w:p>
            <w:pPr>
              <w:spacing w:line="360" w:lineRule="auto"/>
              <w:ind w:firstLine="480" w:firstLineChars="200"/>
              <w:rPr>
                <w:bCs/>
                <w:color w:val="auto"/>
                <w:sz w:val="24"/>
                <w:lang w:bidi="ar"/>
              </w:rPr>
            </w:pPr>
            <w:r>
              <w:rPr>
                <w:bCs/>
                <w:color w:val="auto"/>
                <w:sz w:val="24"/>
                <w:lang w:bidi="ar"/>
              </w:rPr>
              <w:t>根据《黑龙江省大气污染防治条例》，工业和信息化部门负责工业节能降耗，淘汰落后产能，推进工业锅炉升级改造和清洁生产，燃煤电厂、燃煤供热锅炉以及其他燃煤单位，应当采用清洁生产工艺，配套建设除尘、脱硫、脱硝等装置或者采用技术改造等措施，减少大气污染物的产生和排放，排放的大气污染物应当达到规定标准。</w:t>
            </w:r>
          </w:p>
          <w:p>
            <w:pPr>
              <w:spacing w:line="360" w:lineRule="auto"/>
              <w:ind w:firstLine="480" w:firstLineChars="200"/>
              <w:rPr>
                <w:color w:val="auto"/>
                <w:sz w:val="24"/>
                <w:lang w:bidi="ar"/>
              </w:rPr>
            </w:pPr>
            <w:r>
              <w:rPr>
                <w:bCs/>
                <w:color w:val="auto"/>
                <w:sz w:val="24"/>
                <w:lang w:bidi="ar"/>
              </w:rPr>
              <w:t>本项目</w:t>
            </w:r>
            <w:r>
              <w:rPr>
                <w:rFonts w:hint="eastAsia" w:hAnsi="宋体"/>
                <w:bCs/>
                <w:color w:val="auto"/>
                <w:sz w:val="24"/>
              </w:rPr>
              <w:t>建设1台7MW生物质热水锅炉，锅炉采用低氮燃烧技术</w:t>
            </w:r>
            <w:r>
              <w:rPr>
                <w:rFonts w:hint="eastAsia"/>
                <w:color w:val="auto"/>
                <w:sz w:val="24"/>
              </w:rPr>
              <w:t>（脱硝效率为30%）</w:t>
            </w:r>
            <w:r>
              <w:rPr>
                <w:rFonts w:hint="eastAsia" w:hAnsi="宋体"/>
                <w:bCs/>
                <w:color w:val="auto"/>
                <w:sz w:val="24"/>
              </w:rPr>
              <w:t>，生物质锅炉烟气经陶瓷多管+布袋除尘器（除尘效率为99.6%）处理后由1根40米高烟囱排放</w:t>
            </w:r>
            <w:r>
              <w:rPr>
                <w:bCs/>
                <w:color w:val="auto"/>
                <w:sz w:val="24"/>
                <w:lang w:bidi="ar"/>
              </w:rPr>
              <w:t>，</w:t>
            </w:r>
            <w:r>
              <w:rPr>
                <w:rFonts w:hint="eastAsia"/>
                <w:bCs/>
                <w:color w:val="auto"/>
                <w:sz w:val="24"/>
                <w:lang w:bidi="ar"/>
              </w:rPr>
              <w:t>满足《锅炉大气污染物排放标准》（GB13271-2014）表2燃煤锅炉限值要求。</w:t>
            </w:r>
            <w:r>
              <w:rPr>
                <w:bCs/>
                <w:color w:val="auto"/>
                <w:sz w:val="24"/>
                <w:lang w:bidi="ar"/>
              </w:rPr>
              <w:t>因此本项目建设符合《黑龙江省大气污染防治条例》相关要求。</w:t>
            </w:r>
          </w:p>
          <w:p>
            <w:pPr>
              <w:autoSpaceDE w:val="0"/>
              <w:autoSpaceDN w:val="0"/>
              <w:spacing w:line="360" w:lineRule="auto"/>
              <w:ind w:firstLine="482" w:firstLineChars="200"/>
              <w:contextualSpacing/>
              <w:rPr>
                <w:b/>
                <w:color w:val="auto"/>
                <w:kern w:val="0"/>
                <w:sz w:val="24"/>
              </w:rPr>
            </w:pPr>
            <w:r>
              <w:rPr>
                <w:b/>
                <w:color w:val="auto"/>
                <w:kern w:val="0"/>
                <w:sz w:val="24"/>
              </w:rPr>
              <w:t>3、与《绥化市人民政府关于调整高污染燃料禁燃区的通告》符合性分析</w:t>
            </w:r>
          </w:p>
          <w:p>
            <w:pPr>
              <w:autoSpaceDE w:val="0"/>
              <w:autoSpaceDN w:val="0"/>
              <w:spacing w:line="360" w:lineRule="auto"/>
              <w:ind w:firstLine="480"/>
              <w:contextualSpacing/>
              <w:rPr>
                <w:bCs/>
                <w:color w:val="auto"/>
                <w:kern w:val="0"/>
                <w:sz w:val="24"/>
              </w:rPr>
            </w:pPr>
            <w:r>
              <w:rPr>
                <w:rFonts w:hint="eastAsia"/>
                <w:bCs/>
                <w:color w:val="auto"/>
                <w:kern w:val="0"/>
                <w:sz w:val="24"/>
              </w:rPr>
              <w:t>通告明确：禁燃区划定范围为绥化市城市建成区（包括绥化市经济技术开发区和绥化市经济技术开发区东富工业园区），</w:t>
            </w:r>
            <w:r>
              <w:rPr>
                <w:bCs/>
                <w:color w:val="auto"/>
                <w:kern w:val="0"/>
                <w:sz w:val="24"/>
              </w:rPr>
              <w:t>禁燃区内不得新建、扩建Ⅱ类类别规定中禁止燃用高污染燃料的燃用设施，不得销售Ⅱ类类别中规定的高污染燃料。</w:t>
            </w:r>
          </w:p>
          <w:p>
            <w:pPr>
              <w:autoSpaceDE w:val="0"/>
              <w:autoSpaceDN w:val="0"/>
              <w:spacing w:line="360" w:lineRule="auto"/>
              <w:ind w:firstLine="480" w:firstLineChars="200"/>
              <w:contextualSpacing/>
              <w:rPr>
                <w:bCs/>
                <w:color w:val="auto"/>
                <w:kern w:val="0"/>
                <w:sz w:val="24"/>
              </w:rPr>
            </w:pPr>
            <w:r>
              <w:rPr>
                <w:bCs/>
                <w:color w:val="auto"/>
                <w:kern w:val="0"/>
                <w:sz w:val="24"/>
              </w:rPr>
              <w:t>本项目锅炉采用</w:t>
            </w:r>
            <w:r>
              <w:rPr>
                <w:rFonts w:hint="eastAsia"/>
                <w:bCs/>
                <w:color w:val="auto"/>
                <w:kern w:val="0"/>
                <w:sz w:val="24"/>
              </w:rPr>
              <w:t>生物质专用锅炉，</w:t>
            </w:r>
            <w:r>
              <w:rPr>
                <w:bCs/>
                <w:color w:val="auto"/>
                <w:kern w:val="0"/>
                <w:sz w:val="24"/>
              </w:rPr>
              <w:t>燃料为生物质燃料，不属于</w:t>
            </w:r>
            <w:r>
              <w:rPr>
                <w:rFonts w:hint="eastAsia"/>
                <w:bCs/>
                <w:color w:val="auto"/>
                <w:kern w:val="0"/>
                <w:sz w:val="24"/>
              </w:rPr>
              <w:t>&lt;高污染燃料目录&gt;中的</w:t>
            </w:r>
            <w:r>
              <w:rPr>
                <w:bCs/>
                <w:color w:val="auto"/>
                <w:kern w:val="0"/>
                <w:sz w:val="24"/>
              </w:rPr>
              <w:t>Ⅱ类高污染燃料</w:t>
            </w:r>
            <w:r>
              <w:rPr>
                <w:rFonts w:hint="eastAsia"/>
                <w:bCs/>
                <w:color w:val="auto"/>
                <w:kern w:val="0"/>
                <w:sz w:val="24"/>
              </w:rPr>
              <w:t>。</w:t>
            </w:r>
            <w:r>
              <w:rPr>
                <w:bCs/>
                <w:color w:val="auto"/>
                <w:kern w:val="0"/>
                <w:sz w:val="24"/>
              </w:rPr>
              <w:t>因此</w:t>
            </w:r>
            <w:r>
              <w:rPr>
                <w:rFonts w:hint="eastAsia"/>
                <w:bCs/>
                <w:color w:val="auto"/>
                <w:kern w:val="0"/>
                <w:sz w:val="24"/>
              </w:rPr>
              <w:t>，</w:t>
            </w:r>
            <w:r>
              <w:rPr>
                <w:bCs/>
                <w:color w:val="auto"/>
                <w:kern w:val="0"/>
                <w:sz w:val="24"/>
              </w:rPr>
              <w:t>本项目建设符合《绥化市人民政府关于调整高污染燃料禁燃区的通告》相关要求。</w:t>
            </w:r>
          </w:p>
          <w:p>
            <w:pPr>
              <w:autoSpaceDE w:val="0"/>
              <w:autoSpaceDN w:val="0"/>
              <w:spacing w:line="360" w:lineRule="auto"/>
              <w:ind w:firstLine="482" w:firstLineChars="200"/>
              <w:contextualSpacing/>
              <w:rPr>
                <w:b/>
                <w:color w:val="auto"/>
                <w:kern w:val="0"/>
                <w:sz w:val="24"/>
              </w:rPr>
            </w:pPr>
            <w:r>
              <w:rPr>
                <w:b/>
                <w:color w:val="auto"/>
                <w:kern w:val="0"/>
                <w:sz w:val="24"/>
              </w:rPr>
              <w:t>4、与《绥化市环境空气质量达标规划》符合性分析</w:t>
            </w:r>
          </w:p>
          <w:p>
            <w:pPr>
              <w:autoSpaceDE w:val="0"/>
              <w:autoSpaceDN w:val="0"/>
              <w:spacing w:line="360" w:lineRule="auto"/>
              <w:ind w:firstLine="480" w:firstLineChars="200"/>
              <w:contextualSpacing/>
              <w:rPr>
                <w:bCs/>
                <w:color w:val="auto"/>
                <w:kern w:val="0"/>
                <w:sz w:val="24"/>
              </w:rPr>
            </w:pPr>
            <w:r>
              <w:rPr>
                <w:rFonts w:hint="eastAsia"/>
                <w:bCs/>
                <w:color w:val="auto"/>
                <w:kern w:val="0"/>
                <w:sz w:val="24"/>
              </w:rPr>
              <w:t>《规划》明确：</w:t>
            </w:r>
            <w:r>
              <w:rPr>
                <w:bCs/>
                <w:color w:val="auto"/>
                <w:kern w:val="0"/>
                <w:sz w:val="24"/>
              </w:rPr>
              <w:t>开展生物质锅炉专项整治。建立并动态更新生物质锅炉清单，管理台账保留一年以上。生物质锅炉应采用专用锅炉，禁止掺烧煤炭、垃圾、工业固体废物等其他物料，配套建设陶瓷多管+布袋等高效除尘设施和脱硝设施。</w:t>
            </w:r>
          </w:p>
          <w:p>
            <w:pPr>
              <w:autoSpaceDE w:val="0"/>
              <w:autoSpaceDN w:val="0"/>
              <w:spacing w:line="360" w:lineRule="auto"/>
              <w:ind w:firstLine="480" w:firstLineChars="200"/>
              <w:contextualSpacing/>
              <w:rPr>
                <w:bCs/>
                <w:color w:val="auto"/>
                <w:kern w:val="0"/>
                <w:sz w:val="24"/>
              </w:rPr>
            </w:pPr>
            <w:r>
              <w:rPr>
                <w:bCs/>
                <w:color w:val="auto"/>
                <w:kern w:val="0"/>
                <w:sz w:val="24"/>
              </w:rPr>
              <w:t>本项目锅炉采用</w:t>
            </w:r>
            <w:r>
              <w:rPr>
                <w:rFonts w:hint="eastAsia"/>
                <w:bCs/>
                <w:color w:val="auto"/>
                <w:kern w:val="0"/>
                <w:sz w:val="24"/>
              </w:rPr>
              <w:t>生物质专用锅炉，燃料为生物质燃料，锅炉采用</w:t>
            </w:r>
            <w:r>
              <w:rPr>
                <w:bCs/>
                <w:color w:val="auto"/>
                <w:kern w:val="0"/>
                <w:sz w:val="24"/>
              </w:rPr>
              <w:t>低氮燃烧技术，烟气经陶瓷多管+布袋除尘器处理后</w:t>
            </w:r>
            <w:r>
              <w:rPr>
                <w:rFonts w:hint="eastAsia"/>
                <w:bCs/>
                <w:color w:val="auto"/>
                <w:kern w:val="0"/>
                <w:sz w:val="24"/>
              </w:rPr>
              <w:t>高空排放</w:t>
            </w:r>
            <w:r>
              <w:rPr>
                <w:bCs/>
                <w:color w:val="auto"/>
                <w:kern w:val="0"/>
                <w:sz w:val="24"/>
              </w:rPr>
              <w:t>。</w:t>
            </w:r>
            <w:r>
              <w:rPr>
                <w:rFonts w:hint="eastAsia"/>
                <w:bCs/>
                <w:color w:val="auto"/>
                <w:kern w:val="0"/>
                <w:sz w:val="24"/>
              </w:rPr>
              <w:t>综上，</w:t>
            </w:r>
            <w:r>
              <w:rPr>
                <w:bCs/>
                <w:color w:val="auto"/>
                <w:kern w:val="0"/>
                <w:sz w:val="24"/>
              </w:rPr>
              <w:t>本项目建设符合《绥化市环境空气质量达标规划》相关要求。</w:t>
            </w:r>
          </w:p>
          <w:p>
            <w:pPr>
              <w:spacing w:line="360" w:lineRule="auto"/>
              <w:ind w:firstLine="422" w:firstLineChars="175"/>
              <w:rPr>
                <w:b/>
                <w:bCs/>
                <w:color w:val="auto"/>
                <w:sz w:val="24"/>
                <w:lang w:bidi="ar"/>
              </w:rPr>
            </w:pPr>
            <w:r>
              <w:rPr>
                <w:b/>
                <w:bCs/>
                <w:color w:val="auto"/>
                <w:sz w:val="24"/>
                <w:lang w:bidi="ar"/>
              </w:rPr>
              <w:t>5、与《黑龙江省空气质量持续改善行动计划实施方案》符合性分析</w:t>
            </w:r>
          </w:p>
          <w:p>
            <w:pPr>
              <w:spacing w:line="360" w:lineRule="auto"/>
              <w:ind w:firstLine="480" w:firstLineChars="200"/>
              <w:rPr>
                <w:color w:val="auto"/>
                <w:sz w:val="24"/>
                <w:lang w:bidi="ar"/>
              </w:rPr>
            </w:pPr>
            <w:r>
              <w:rPr>
                <w:color w:val="auto"/>
                <w:sz w:val="24"/>
                <w:lang w:bidi="ar"/>
              </w:rPr>
              <w:t>《</w:t>
            </w:r>
            <w:r>
              <w:rPr>
                <w:rFonts w:hint="eastAsia"/>
                <w:color w:val="auto"/>
                <w:sz w:val="24"/>
                <w:lang w:bidi="ar"/>
              </w:rPr>
              <w:t>方案</w:t>
            </w:r>
            <w:r>
              <w:rPr>
                <w:color w:val="auto"/>
                <w:sz w:val="24"/>
                <w:lang w:bidi="ar"/>
              </w:rPr>
              <w:t>》提出：生物质锅炉采用专用锅炉，配套布袋等高效除尘设施，禁止掺烧煤炭、生活垃圾等其他物料。推进整合小型生物质锅炉，积极引导城市建成区内生物质锅炉（含电力）超低排放改造。强化治污设施运行维护，减少非正常工况排放。</w:t>
            </w:r>
          </w:p>
          <w:p>
            <w:pPr>
              <w:spacing w:line="360" w:lineRule="auto"/>
              <w:ind w:firstLine="480" w:firstLineChars="200"/>
              <w:rPr>
                <w:color w:val="auto"/>
                <w:sz w:val="24"/>
                <w:lang w:bidi="ar"/>
              </w:rPr>
            </w:pPr>
            <w:r>
              <w:rPr>
                <w:color w:val="auto"/>
                <w:sz w:val="24"/>
                <w:lang w:bidi="ar"/>
              </w:rPr>
              <w:t>本项目</w:t>
            </w:r>
            <w:r>
              <w:rPr>
                <w:bCs/>
                <w:color w:val="auto"/>
                <w:kern w:val="0"/>
                <w:sz w:val="24"/>
              </w:rPr>
              <w:t>锅炉采用</w:t>
            </w:r>
            <w:r>
              <w:rPr>
                <w:rFonts w:hint="eastAsia"/>
                <w:bCs/>
                <w:color w:val="auto"/>
                <w:kern w:val="0"/>
                <w:sz w:val="24"/>
              </w:rPr>
              <w:t>生物质专用锅炉，配备</w:t>
            </w:r>
            <w:r>
              <w:rPr>
                <w:bCs/>
                <w:color w:val="auto"/>
                <w:kern w:val="0"/>
                <w:sz w:val="24"/>
              </w:rPr>
              <w:t>陶瓷多管+布袋除尘器</w:t>
            </w:r>
            <w:r>
              <w:rPr>
                <w:rFonts w:hint="eastAsia"/>
                <w:bCs/>
                <w:color w:val="auto"/>
                <w:kern w:val="0"/>
                <w:sz w:val="24"/>
              </w:rPr>
              <w:t>，燃料为生物质燃料</w:t>
            </w:r>
            <w:r>
              <w:rPr>
                <w:color w:val="auto"/>
                <w:sz w:val="24"/>
                <w:lang w:bidi="ar"/>
              </w:rPr>
              <w:t>，符合《黑龙江省空气质量持续改善行动计划实施方案》要求。</w:t>
            </w:r>
          </w:p>
          <w:p>
            <w:pPr>
              <w:spacing w:line="360" w:lineRule="auto"/>
              <w:ind w:firstLine="460" w:firstLineChars="191"/>
              <w:jc w:val="left"/>
              <w:rPr>
                <w:b/>
                <w:color w:val="auto"/>
                <w:kern w:val="0"/>
                <w:sz w:val="24"/>
                <w:lang w:bidi="ar"/>
              </w:rPr>
            </w:pPr>
            <w:r>
              <w:rPr>
                <w:b/>
                <w:color w:val="auto"/>
                <w:kern w:val="0"/>
                <w:sz w:val="24"/>
                <w:lang w:bidi="ar"/>
              </w:rPr>
              <w:t>6、与“三线一单”符合性分析</w:t>
            </w:r>
          </w:p>
          <w:p>
            <w:pPr>
              <w:spacing w:line="360" w:lineRule="auto"/>
              <w:ind w:firstLine="480" w:firstLineChars="200"/>
              <w:rPr>
                <w:bCs/>
                <w:color w:val="auto"/>
                <w:sz w:val="24"/>
                <w:lang w:bidi="ar"/>
              </w:rPr>
            </w:pPr>
            <w:r>
              <w:rPr>
                <w:rFonts w:hint="eastAsia"/>
                <w:bCs/>
                <w:color w:val="auto"/>
                <w:sz w:val="24"/>
                <w:lang w:bidi="ar"/>
              </w:rPr>
              <w:t>（1）</w:t>
            </w:r>
            <w:r>
              <w:rPr>
                <w:bCs/>
                <w:color w:val="auto"/>
                <w:sz w:val="24"/>
                <w:lang w:bidi="ar"/>
              </w:rPr>
              <w:t>生态保护红线</w:t>
            </w:r>
          </w:p>
          <w:p>
            <w:pPr>
              <w:spacing w:line="360" w:lineRule="auto"/>
              <w:ind w:firstLine="480" w:firstLineChars="200"/>
              <w:rPr>
                <w:bCs/>
                <w:color w:val="auto"/>
                <w:sz w:val="24"/>
                <w:lang w:bidi="ar"/>
              </w:rPr>
            </w:pPr>
            <w:r>
              <w:rPr>
                <w:color w:val="auto"/>
                <w:sz w:val="24"/>
                <w:lang w:bidi="ar"/>
              </w:rPr>
              <w:t>本项目位于绥化市北林区东津镇原种子站西</w:t>
            </w:r>
            <w:r>
              <w:rPr>
                <w:bCs/>
                <w:color w:val="auto"/>
                <w:sz w:val="24"/>
                <w:lang w:bidi="ar"/>
              </w:rPr>
              <w:t>，</w:t>
            </w:r>
            <w:r>
              <w:rPr>
                <w:color w:val="auto"/>
                <w:sz w:val="24"/>
                <w:lang w:bidi="ar"/>
              </w:rPr>
              <w:t>根据《绥化市人民政府关于实施“三线一单”生态环境分区管控的意见》（绥政发[2021]10号）附图，项目所处区域为</w:t>
            </w:r>
            <w:r>
              <w:rPr>
                <w:rFonts w:hint="eastAsia"/>
                <w:bCs/>
                <w:color w:val="auto"/>
                <w:sz w:val="24"/>
                <w:lang w:bidi="ar"/>
              </w:rPr>
              <w:t>重点</w:t>
            </w:r>
            <w:r>
              <w:rPr>
                <w:bCs/>
                <w:color w:val="auto"/>
                <w:sz w:val="24"/>
                <w:lang w:bidi="ar"/>
              </w:rPr>
              <w:t>管控单元，</w:t>
            </w:r>
            <w:r>
              <w:rPr>
                <w:color w:val="auto"/>
                <w:sz w:val="24"/>
                <w:lang w:bidi="ar"/>
              </w:rPr>
              <w:t>不属于生态红线。</w:t>
            </w:r>
          </w:p>
          <w:p>
            <w:pPr>
              <w:pStyle w:val="12"/>
              <w:spacing w:before="0" w:beforeAutospacing="0" w:after="0" w:afterAutospacing="0" w:line="360" w:lineRule="auto"/>
              <w:ind w:firstLine="480" w:firstLineChars="200"/>
              <w:jc w:val="both"/>
              <w:rPr>
                <w:rFonts w:ascii="Times New Roman" w:hAnsi="Times New Roman"/>
                <w:color w:val="auto"/>
                <w:szCs w:val="24"/>
                <w:lang w:val="en-US" w:eastAsia="zh-CN" w:bidi="ar"/>
              </w:rPr>
            </w:pPr>
            <w:r>
              <w:rPr>
                <w:rFonts w:hint="eastAsia" w:ascii="Times New Roman" w:hAnsi="Times New Roman"/>
                <w:color w:val="auto"/>
                <w:szCs w:val="24"/>
                <w:lang w:val="en-US" w:eastAsia="zh-CN" w:bidi="ar"/>
              </w:rPr>
              <w:t>（2）</w:t>
            </w:r>
            <w:r>
              <w:rPr>
                <w:rFonts w:ascii="Times New Roman" w:hAnsi="Times New Roman"/>
                <w:color w:val="auto"/>
                <w:szCs w:val="24"/>
                <w:lang w:val="en-US" w:eastAsia="zh-CN" w:bidi="ar"/>
              </w:rPr>
              <w:t>环境质量底线</w:t>
            </w:r>
          </w:p>
          <w:p>
            <w:pPr>
              <w:widowControl/>
              <w:spacing w:line="360" w:lineRule="auto"/>
              <w:ind w:firstLine="420" w:firstLineChars="200"/>
              <w:jc w:val="left"/>
              <w:rPr>
                <w:color w:val="auto"/>
                <w:sz w:val="24"/>
              </w:rPr>
            </w:pPr>
            <w:r>
              <w:rPr>
                <w:rFonts w:hint="eastAsia"/>
                <w:color w:val="auto"/>
                <w:lang w:bidi="ar"/>
              </w:rPr>
              <w:t>①</w:t>
            </w:r>
            <w:r>
              <w:rPr>
                <w:color w:val="auto"/>
                <w:sz w:val="24"/>
              </w:rPr>
              <w:t>大气</w:t>
            </w:r>
          </w:p>
          <w:p>
            <w:pPr>
              <w:spacing w:line="360" w:lineRule="auto"/>
              <w:ind w:firstLine="480" w:firstLineChars="200"/>
              <w:contextualSpacing/>
              <w:jc w:val="left"/>
              <w:rPr>
                <w:color w:val="auto"/>
                <w:sz w:val="24"/>
              </w:rPr>
            </w:pPr>
            <w:r>
              <w:rPr>
                <w:color w:val="auto"/>
                <w:kern w:val="0"/>
                <w:sz w:val="24"/>
              </w:rPr>
              <w:t>根据</w:t>
            </w:r>
            <w:r>
              <w:rPr>
                <w:color w:val="auto"/>
                <w:sz w:val="24"/>
              </w:rPr>
              <w:t>《</w:t>
            </w:r>
            <w:r>
              <w:rPr>
                <w:bCs/>
                <w:color w:val="auto"/>
                <w:sz w:val="24"/>
              </w:rPr>
              <w:t>绥化市环境质量年报（2022年度）</w:t>
            </w:r>
            <w:r>
              <w:rPr>
                <w:color w:val="auto"/>
                <w:sz w:val="24"/>
              </w:rPr>
              <w:t>》</w:t>
            </w:r>
            <w:r>
              <w:rPr>
                <w:color w:val="auto"/>
                <w:kern w:val="0"/>
                <w:sz w:val="24"/>
              </w:rPr>
              <w:t>，</w:t>
            </w:r>
            <w:r>
              <w:rPr>
                <w:color w:val="auto"/>
                <w:sz w:val="24"/>
              </w:rPr>
              <w:t>评价区环境空气质量不能够满足环境空气二类功能区要求，细颗粒物</w:t>
            </w:r>
            <w:r>
              <w:rPr>
                <w:rFonts w:hint="eastAsia"/>
                <w:color w:val="auto"/>
                <w:sz w:val="24"/>
              </w:rPr>
              <w:t>（PM</w:t>
            </w:r>
            <w:r>
              <w:rPr>
                <w:rFonts w:hint="eastAsia"/>
                <w:color w:val="auto"/>
                <w:sz w:val="24"/>
                <w:vertAlign w:val="subscript"/>
              </w:rPr>
              <w:t>2.5</w:t>
            </w:r>
            <w:r>
              <w:rPr>
                <w:rFonts w:hint="eastAsia"/>
                <w:color w:val="auto"/>
                <w:sz w:val="24"/>
              </w:rPr>
              <w:t>）</w:t>
            </w:r>
            <w:r>
              <w:rPr>
                <w:color w:val="auto"/>
                <w:sz w:val="24"/>
              </w:rPr>
              <w:t>年评价指标超过《环境空气质量标准》（GB3095-2012）二级标准</w:t>
            </w:r>
            <w:r>
              <w:rPr>
                <w:color w:val="auto"/>
                <w:kern w:val="0"/>
                <w:sz w:val="24"/>
              </w:rPr>
              <w:t>。本项目废气特征污染物为颗粒物、二氧化硫、氮氧化物，生物质锅炉采用低氮燃烧技术，烟气</w:t>
            </w:r>
            <w:r>
              <w:rPr>
                <w:rFonts w:hint="eastAsia"/>
                <w:color w:val="auto"/>
                <w:kern w:val="0"/>
                <w:sz w:val="24"/>
              </w:rPr>
              <w:t>经</w:t>
            </w:r>
            <w:r>
              <w:rPr>
                <w:color w:val="auto"/>
                <w:kern w:val="0"/>
                <w:sz w:val="24"/>
              </w:rPr>
              <w:t>陶瓷多管+布袋除尘</w:t>
            </w:r>
            <w:r>
              <w:rPr>
                <w:rFonts w:hint="eastAsia"/>
                <w:color w:val="auto"/>
                <w:kern w:val="0"/>
                <w:sz w:val="24"/>
              </w:rPr>
              <w:t>器</w:t>
            </w:r>
            <w:r>
              <w:rPr>
                <w:color w:val="auto"/>
                <w:kern w:val="0"/>
                <w:sz w:val="24"/>
              </w:rPr>
              <w:t>处理后</w:t>
            </w:r>
            <w:r>
              <w:rPr>
                <w:rFonts w:hint="eastAsia"/>
                <w:color w:val="auto"/>
                <w:kern w:val="0"/>
                <w:sz w:val="24"/>
              </w:rPr>
              <w:t>达标排放</w:t>
            </w:r>
            <w:r>
              <w:rPr>
                <w:bCs/>
                <w:color w:val="auto"/>
                <w:kern w:val="0"/>
                <w:sz w:val="24"/>
              </w:rPr>
              <w:t>，</w:t>
            </w:r>
            <w:r>
              <w:rPr>
                <w:color w:val="auto"/>
                <w:kern w:val="0"/>
                <w:sz w:val="24"/>
              </w:rPr>
              <w:t>不会</w:t>
            </w:r>
            <w:r>
              <w:rPr>
                <w:rFonts w:hint="eastAsia"/>
                <w:color w:val="auto"/>
                <w:kern w:val="0"/>
                <w:sz w:val="24"/>
              </w:rPr>
              <w:t>加剧</w:t>
            </w:r>
            <w:r>
              <w:rPr>
                <w:color w:val="auto"/>
                <w:kern w:val="0"/>
                <w:sz w:val="24"/>
              </w:rPr>
              <w:t>大气环境质量</w:t>
            </w:r>
            <w:r>
              <w:rPr>
                <w:rFonts w:hint="eastAsia"/>
                <w:color w:val="auto"/>
                <w:kern w:val="0"/>
                <w:sz w:val="24"/>
              </w:rPr>
              <w:t>恶化</w:t>
            </w:r>
            <w:r>
              <w:rPr>
                <w:color w:val="auto"/>
                <w:kern w:val="0"/>
                <w:sz w:val="24"/>
              </w:rPr>
              <w:t>，满足绥化市大气环境质量底线要求</w:t>
            </w:r>
            <w:r>
              <w:rPr>
                <w:color w:val="auto"/>
                <w:sz w:val="24"/>
              </w:rPr>
              <w:t>。</w:t>
            </w:r>
          </w:p>
          <w:p>
            <w:pPr>
              <w:spacing w:line="360" w:lineRule="auto"/>
              <w:ind w:firstLine="480" w:firstLineChars="200"/>
              <w:contextualSpacing/>
              <w:jc w:val="left"/>
              <w:rPr>
                <w:color w:val="auto"/>
                <w:sz w:val="24"/>
              </w:rPr>
            </w:pPr>
            <w:r>
              <w:rPr>
                <w:rFonts w:hint="eastAsia"/>
                <w:color w:val="auto"/>
                <w:sz w:val="24"/>
              </w:rPr>
              <w:t>②</w:t>
            </w:r>
            <w:r>
              <w:rPr>
                <w:color w:val="auto"/>
                <w:sz w:val="24"/>
              </w:rPr>
              <w:t>水环境</w:t>
            </w:r>
          </w:p>
          <w:p>
            <w:pPr>
              <w:spacing w:line="360" w:lineRule="auto"/>
              <w:ind w:firstLine="480" w:firstLineChars="200"/>
              <w:contextualSpacing/>
              <w:jc w:val="left"/>
              <w:rPr>
                <w:color w:val="auto"/>
                <w:sz w:val="24"/>
              </w:rPr>
            </w:pPr>
            <w:r>
              <w:rPr>
                <w:color w:val="auto"/>
                <w:sz w:val="24"/>
              </w:rPr>
              <w:t>根据《</w:t>
            </w:r>
            <w:r>
              <w:rPr>
                <w:bCs/>
                <w:color w:val="auto"/>
                <w:sz w:val="24"/>
              </w:rPr>
              <w:t>绥化市环境质量年报（2022年度）</w:t>
            </w:r>
            <w:r>
              <w:rPr>
                <w:color w:val="auto"/>
                <w:sz w:val="24"/>
              </w:rPr>
              <w:t>》，</w:t>
            </w:r>
            <w:r>
              <w:rPr>
                <w:bCs/>
                <w:color w:val="auto"/>
                <w:kern w:val="0"/>
                <w:sz w:val="24"/>
              </w:rPr>
              <w:t>本项目地表水水质现状满足《地表水环境质量标准》(GB3838-2002) III类标准要求</w:t>
            </w:r>
            <w:r>
              <w:rPr>
                <w:rFonts w:hint="eastAsia"/>
                <w:color w:val="auto"/>
                <w:sz w:val="24"/>
              </w:rPr>
              <w:t>。</w:t>
            </w:r>
            <w:r>
              <w:rPr>
                <w:color w:val="auto"/>
                <w:sz w:val="24"/>
              </w:rPr>
              <w:t>本项目</w:t>
            </w:r>
            <w:r>
              <w:rPr>
                <w:rFonts w:hint="eastAsia"/>
                <w:color w:val="auto"/>
                <w:sz w:val="24"/>
              </w:rPr>
              <w:t>生活污水依托附近公用防渗旱厕，定期清掏，外运堆肥，不外排；软化处理废水及锅炉排污水</w:t>
            </w:r>
            <w:r>
              <w:rPr>
                <w:rFonts w:hint="eastAsia"/>
                <w:bCs/>
                <w:color w:val="auto"/>
                <w:sz w:val="24"/>
              </w:rPr>
              <w:t>用于湿式除渣及锅炉房洒水抑尘，不外排</w:t>
            </w:r>
            <w:r>
              <w:rPr>
                <w:color w:val="auto"/>
                <w:sz w:val="24"/>
              </w:rPr>
              <w:t>，不会对区域水环境造成</w:t>
            </w:r>
            <w:r>
              <w:rPr>
                <w:rFonts w:hint="eastAsia"/>
                <w:color w:val="auto"/>
                <w:sz w:val="24"/>
              </w:rPr>
              <w:t>不良</w:t>
            </w:r>
            <w:r>
              <w:rPr>
                <w:color w:val="auto"/>
                <w:sz w:val="24"/>
              </w:rPr>
              <w:t>影响，因此符合绥化市水环境质量底线要求。</w:t>
            </w:r>
          </w:p>
          <w:p>
            <w:pPr>
              <w:widowControl/>
              <w:spacing w:line="360" w:lineRule="auto"/>
              <w:ind w:firstLine="480" w:firstLineChars="200"/>
              <w:jc w:val="left"/>
              <w:rPr>
                <w:color w:val="auto"/>
                <w:sz w:val="24"/>
              </w:rPr>
            </w:pPr>
            <w:r>
              <w:rPr>
                <w:rFonts w:hint="eastAsia"/>
                <w:color w:val="auto"/>
                <w:sz w:val="24"/>
              </w:rPr>
              <w:t>③</w:t>
            </w:r>
            <w:r>
              <w:rPr>
                <w:color w:val="auto"/>
                <w:sz w:val="24"/>
              </w:rPr>
              <w:t>土壤</w:t>
            </w:r>
          </w:p>
          <w:p>
            <w:pPr>
              <w:spacing w:line="360" w:lineRule="auto"/>
              <w:ind w:firstLine="480" w:firstLineChars="200"/>
              <w:contextualSpacing/>
              <w:jc w:val="left"/>
              <w:rPr>
                <w:color w:val="auto"/>
                <w:sz w:val="24"/>
              </w:rPr>
            </w:pPr>
            <w:r>
              <w:rPr>
                <w:color w:val="auto"/>
                <w:sz w:val="24"/>
              </w:rPr>
              <w:t>本项目位于绥化市北林区东津镇原种子站西，项目选址不属于污染地块，符合绥化市土壤环境管控要求。</w:t>
            </w:r>
          </w:p>
          <w:p>
            <w:pPr>
              <w:spacing w:line="360" w:lineRule="auto"/>
              <w:ind w:firstLine="468" w:firstLineChars="195"/>
              <w:rPr>
                <w:color w:val="auto"/>
                <w:sz w:val="24"/>
                <w:lang w:bidi="ar"/>
              </w:rPr>
            </w:pPr>
            <w:r>
              <w:rPr>
                <w:rFonts w:hint="eastAsia"/>
                <w:color w:val="auto"/>
                <w:sz w:val="24"/>
                <w:lang w:bidi="ar"/>
              </w:rPr>
              <w:t>（3）</w:t>
            </w:r>
            <w:r>
              <w:rPr>
                <w:color w:val="auto"/>
                <w:sz w:val="24"/>
                <w:lang w:bidi="ar"/>
              </w:rPr>
              <w:t xml:space="preserve">资源利用上线 </w:t>
            </w:r>
          </w:p>
          <w:p>
            <w:pPr>
              <w:spacing w:line="360" w:lineRule="auto"/>
              <w:ind w:firstLine="468" w:firstLineChars="195"/>
              <w:rPr>
                <w:color w:val="auto"/>
                <w:sz w:val="24"/>
                <w:lang w:bidi="ar"/>
              </w:rPr>
            </w:pPr>
            <w:r>
              <w:rPr>
                <w:color w:val="auto"/>
                <w:sz w:val="24"/>
                <w:lang w:bidi="ar"/>
              </w:rPr>
              <w:t>项目用地为</w:t>
            </w:r>
            <w:r>
              <w:rPr>
                <w:rFonts w:hint="eastAsia"/>
                <w:color w:val="auto"/>
                <w:sz w:val="24"/>
                <w:lang w:bidi="ar"/>
              </w:rPr>
              <w:t>建设</w:t>
            </w:r>
            <w:r>
              <w:rPr>
                <w:color w:val="auto"/>
                <w:sz w:val="24"/>
                <w:lang w:bidi="ar"/>
              </w:rPr>
              <w:t>用地；本项目生活和生产用水由</w:t>
            </w:r>
            <w:r>
              <w:rPr>
                <w:rFonts w:hint="eastAsia"/>
                <w:color w:val="auto"/>
                <w:sz w:val="24"/>
                <w:lang w:bidi="ar"/>
              </w:rPr>
              <w:t>市政自来水公司</w:t>
            </w:r>
            <w:r>
              <w:rPr>
                <w:color w:val="auto"/>
                <w:sz w:val="24"/>
                <w:lang w:bidi="ar"/>
              </w:rPr>
              <w:t>提供，大部分生产用水循环使用，不属于高水耗行业，符合水资源利用要求；本项目投产后能耗低，因此本项目建设符合资源利用上线要求。</w:t>
            </w:r>
          </w:p>
          <w:p>
            <w:pPr>
              <w:spacing w:line="360" w:lineRule="auto"/>
              <w:ind w:firstLine="468" w:firstLineChars="195"/>
              <w:rPr>
                <w:color w:val="auto"/>
                <w:sz w:val="24"/>
                <w:lang w:bidi="ar"/>
              </w:rPr>
            </w:pPr>
            <w:r>
              <w:rPr>
                <w:rFonts w:hint="eastAsia"/>
                <w:color w:val="auto"/>
                <w:sz w:val="24"/>
                <w:lang w:bidi="ar"/>
              </w:rPr>
              <w:t>（4）</w:t>
            </w:r>
            <w:r>
              <w:rPr>
                <w:color w:val="auto"/>
                <w:sz w:val="24"/>
                <w:lang w:bidi="ar"/>
              </w:rPr>
              <w:t>绥化市生态环境准入清单符合性分析</w:t>
            </w:r>
          </w:p>
          <w:p>
            <w:pPr>
              <w:spacing w:line="360" w:lineRule="auto"/>
              <w:ind w:firstLine="468" w:firstLineChars="195"/>
              <w:rPr>
                <w:rFonts w:hint="eastAsia"/>
                <w:color w:val="auto"/>
                <w:sz w:val="24"/>
                <w:lang w:bidi="ar"/>
              </w:rPr>
            </w:pPr>
            <w:r>
              <w:rPr>
                <w:color w:val="auto"/>
                <w:sz w:val="24"/>
                <w:lang w:bidi="ar"/>
              </w:rPr>
              <w:t>根据《绥化市人民政府关于实施“三线一单”生态环境分区管控的意见》（绥政发[2021]10号）和黑龙江省“三线一单”数据应用平台查询结果，本项目环境管控单元为</w:t>
            </w:r>
            <w:r>
              <w:rPr>
                <w:rFonts w:hint="eastAsia"/>
                <w:color w:val="auto"/>
                <w:sz w:val="24"/>
                <w:lang w:bidi="ar"/>
              </w:rPr>
              <w:t>重点</w:t>
            </w:r>
            <w:r>
              <w:rPr>
                <w:color w:val="auto"/>
                <w:sz w:val="24"/>
                <w:lang w:bidi="ar"/>
              </w:rPr>
              <w:t>管控单元</w:t>
            </w:r>
            <w:r>
              <w:rPr>
                <w:rFonts w:hint="eastAsia"/>
                <w:color w:val="auto"/>
                <w:sz w:val="24"/>
                <w:lang w:bidi="ar"/>
              </w:rPr>
              <w:t>，</w:t>
            </w:r>
            <w:r>
              <w:rPr>
                <w:color w:val="auto"/>
                <w:sz w:val="24"/>
                <w:lang w:bidi="ar"/>
              </w:rPr>
              <w:t>与生态环境准入清单符合性分析见下表。</w:t>
            </w:r>
          </w:p>
          <w:p>
            <w:pPr>
              <w:spacing w:line="360" w:lineRule="auto"/>
              <w:ind w:firstLine="468" w:firstLineChars="195"/>
              <w:rPr>
                <w:rFonts w:hint="eastAsia"/>
                <w:color w:val="auto"/>
                <w:sz w:val="24"/>
                <w:lang w:bidi="ar"/>
              </w:rPr>
            </w:pPr>
          </w:p>
          <w:p>
            <w:pPr>
              <w:spacing w:line="360" w:lineRule="auto"/>
              <w:ind w:firstLine="468" w:firstLineChars="195"/>
              <w:rPr>
                <w:rFonts w:hint="eastAsia"/>
                <w:color w:val="auto"/>
                <w:sz w:val="24"/>
                <w:lang w:bidi="ar"/>
              </w:rPr>
            </w:pPr>
          </w:p>
          <w:p>
            <w:pPr>
              <w:spacing w:line="360" w:lineRule="auto"/>
              <w:ind w:firstLine="468" w:firstLineChars="195"/>
              <w:rPr>
                <w:rFonts w:hint="eastAsia"/>
                <w:color w:val="auto"/>
                <w:sz w:val="24"/>
                <w:lang w:bidi="ar"/>
              </w:rPr>
            </w:pPr>
          </w:p>
          <w:p>
            <w:pPr>
              <w:spacing w:line="360" w:lineRule="auto"/>
              <w:ind w:firstLine="468" w:firstLineChars="195"/>
              <w:rPr>
                <w:rFonts w:hint="eastAsia"/>
                <w:color w:val="auto"/>
                <w:sz w:val="24"/>
                <w:lang w:bidi="ar"/>
              </w:rPr>
            </w:pPr>
          </w:p>
          <w:p>
            <w:pPr>
              <w:spacing w:line="360" w:lineRule="auto"/>
              <w:ind w:firstLine="468" w:firstLineChars="195"/>
              <w:rPr>
                <w:rFonts w:hint="eastAsia"/>
                <w:color w:val="auto"/>
                <w:sz w:val="24"/>
                <w:lang w:bidi="ar"/>
              </w:rPr>
            </w:pPr>
          </w:p>
          <w:p>
            <w:pPr>
              <w:spacing w:line="360" w:lineRule="auto"/>
              <w:ind w:firstLine="468" w:firstLineChars="195"/>
              <w:rPr>
                <w:rFonts w:hint="eastAsia"/>
                <w:color w:val="auto"/>
                <w:sz w:val="24"/>
                <w:lang w:bidi="ar"/>
              </w:rPr>
            </w:pPr>
          </w:p>
          <w:p>
            <w:pPr>
              <w:spacing w:line="360" w:lineRule="auto"/>
              <w:ind w:firstLine="468" w:firstLineChars="195"/>
              <w:rPr>
                <w:rFonts w:hint="eastAsia"/>
                <w:color w:val="auto"/>
                <w:sz w:val="24"/>
                <w:lang w:bidi="ar"/>
              </w:rPr>
            </w:pPr>
          </w:p>
          <w:p>
            <w:pPr>
              <w:spacing w:line="360" w:lineRule="auto"/>
              <w:ind w:firstLine="468" w:firstLineChars="195"/>
              <w:rPr>
                <w:rFonts w:hint="eastAsia"/>
                <w:color w:val="auto"/>
                <w:sz w:val="24"/>
                <w:lang w:bidi="ar"/>
              </w:rPr>
            </w:pPr>
          </w:p>
          <w:p>
            <w:pPr>
              <w:spacing w:line="360" w:lineRule="auto"/>
              <w:ind w:firstLine="468" w:firstLineChars="195"/>
              <w:rPr>
                <w:rFonts w:hint="eastAsia"/>
                <w:color w:val="auto"/>
                <w:sz w:val="24"/>
                <w:lang w:bidi="ar"/>
              </w:rPr>
            </w:pPr>
          </w:p>
          <w:p>
            <w:pPr>
              <w:spacing w:line="360" w:lineRule="auto"/>
              <w:ind w:firstLine="120" w:firstLineChars="50"/>
              <w:rPr>
                <w:color w:val="auto"/>
                <w:sz w:val="24"/>
                <w:lang w:bidi="ar"/>
              </w:rPr>
            </w:pPr>
            <w:r>
              <w:rPr>
                <w:color w:val="auto"/>
                <w:sz w:val="24"/>
                <w:lang w:bidi="ar"/>
              </w:rPr>
              <w:drawing>
                <wp:inline distT="0" distB="0" distL="114300" distR="114300">
                  <wp:extent cx="4013200" cy="7538085"/>
                  <wp:effectExtent l="0" t="0" r="10160" b="5715"/>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8"/>
                          <a:stretch>
                            <a:fillRect/>
                          </a:stretch>
                        </pic:blipFill>
                        <pic:spPr>
                          <a:xfrm>
                            <a:off x="0" y="0"/>
                            <a:ext cx="4013200" cy="7538085"/>
                          </a:xfrm>
                          <a:prstGeom prst="rect">
                            <a:avLst/>
                          </a:prstGeom>
                          <a:noFill/>
                          <a:ln>
                            <a:noFill/>
                          </a:ln>
                        </pic:spPr>
                      </pic:pic>
                    </a:graphicData>
                  </a:graphic>
                </wp:inline>
              </w:drawing>
            </w:r>
          </w:p>
          <w:p>
            <w:pPr>
              <w:spacing w:line="360" w:lineRule="auto"/>
              <w:ind w:firstLine="470" w:firstLineChars="195"/>
              <w:rPr>
                <w:color w:val="auto"/>
                <w:sz w:val="24"/>
                <w:lang w:bidi="ar"/>
              </w:rPr>
            </w:pPr>
            <w:r>
              <w:rPr>
                <w:rFonts w:hint="eastAsia"/>
                <w:b/>
                <w:bCs/>
                <w:color w:val="auto"/>
                <w:sz w:val="24"/>
              </w:rPr>
              <w:t>图1-1</w:t>
            </w:r>
            <w:r>
              <w:rPr>
                <w:b/>
                <w:bCs/>
                <w:color w:val="auto"/>
                <w:sz w:val="24"/>
                <w:lang w:bidi="ar"/>
              </w:rPr>
              <w:t>黑龙江省“三线一单”数据应用平台查询结果</w:t>
            </w:r>
            <w:r>
              <w:rPr>
                <w:rFonts w:hint="eastAsia"/>
                <w:b/>
                <w:bCs/>
                <w:color w:val="auto"/>
                <w:sz w:val="24"/>
                <w:lang w:bidi="ar"/>
              </w:rPr>
              <w:t>图</w:t>
            </w:r>
          </w:p>
          <w:p>
            <w:pPr>
              <w:spacing w:line="360" w:lineRule="auto"/>
              <w:ind w:firstLine="468" w:firstLineChars="195"/>
              <w:rPr>
                <w:color w:val="auto"/>
                <w:sz w:val="24"/>
                <w:lang w:bidi="ar"/>
              </w:rPr>
            </w:pPr>
          </w:p>
          <w:p>
            <w:pPr>
              <w:spacing w:line="360" w:lineRule="auto"/>
              <w:ind w:firstLine="468" w:firstLineChars="195"/>
              <w:rPr>
                <w:rFonts w:hint="eastAsia"/>
                <w:color w:val="auto"/>
                <w:sz w:val="24"/>
                <w:lang w:bidi="ar"/>
              </w:rPr>
            </w:pPr>
          </w:p>
          <w:p>
            <w:pPr>
              <w:autoSpaceDE w:val="0"/>
              <w:autoSpaceDN w:val="0"/>
              <w:adjustRightInd w:val="0"/>
              <w:snapToGrid w:val="0"/>
              <w:spacing w:line="360" w:lineRule="auto"/>
              <w:ind w:left="420" w:leftChars="200"/>
              <w:jc w:val="center"/>
              <w:rPr>
                <w:b/>
                <w:color w:val="auto"/>
                <w:sz w:val="24"/>
              </w:rPr>
            </w:pPr>
            <w:r>
              <w:rPr>
                <w:b/>
                <w:color w:val="auto"/>
                <w:sz w:val="24"/>
              </w:rPr>
              <w:t>表1-1 生态环境准入清单管控要求符合性分析</w:t>
            </w:r>
          </w:p>
          <w:tbl>
            <w:tblPr>
              <w:tblStyle w:val="15"/>
              <w:tblpPr w:leftFromText="180" w:rightFromText="180" w:vertAnchor="text" w:tblpXSpec="center" w:tblpY="1"/>
              <w:tblOverlap w:val="never"/>
              <w:tblW w:w="6445"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0"/>
              <w:gridCol w:w="677"/>
              <w:gridCol w:w="770"/>
              <w:gridCol w:w="424"/>
              <w:gridCol w:w="2126"/>
              <w:gridCol w:w="1277"/>
              <w:gridCol w:w="49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28" w:type="pct"/>
                  <w:noWrap w:val="0"/>
                  <w:vAlign w:val="center"/>
                </w:tcPr>
                <w:p>
                  <w:pPr>
                    <w:jc w:val="center"/>
                    <w:rPr>
                      <w:color w:val="auto"/>
                      <w:szCs w:val="21"/>
                    </w:rPr>
                  </w:pPr>
                  <w:r>
                    <w:rPr>
                      <w:color w:val="auto"/>
                      <w:szCs w:val="21"/>
                    </w:rPr>
                    <w:t>环境管控单元编码</w:t>
                  </w:r>
                </w:p>
              </w:tc>
              <w:tc>
                <w:tcPr>
                  <w:tcW w:w="525" w:type="pct"/>
                  <w:noWrap w:val="0"/>
                  <w:vAlign w:val="center"/>
                </w:tcPr>
                <w:p>
                  <w:pPr>
                    <w:jc w:val="center"/>
                    <w:rPr>
                      <w:color w:val="auto"/>
                      <w:szCs w:val="21"/>
                    </w:rPr>
                  </w:pPr>
                  <w:r>
                    <w:rPr>
                      <w:color w:val="auto"/>
                      <w:szCs w:val="21"/>
                    </w:rPr>
                    <w:t>环境管控单元名称</w:t>
                  </w:r>
                </w:p>
              </w:tc>
              <w:tc>
                <w:tcPr>
                  <w:tcW w:w="597" w:type="pct"/>
                  <w:noWrap w:val="0"/>
                  <w:vAlign w:val="center"/>
                </w:tcPr>
                <w:p>
                  <w:pPr>
                    <w:jc w:val="center"/>
                    <w:rPr>
                      <w:color w:val="auto"/>
                      <w:szCs w:val="21"/>
                    </w:rPr>
                  </w:pPr>
                  <w:r>
                    <w:rPr>
                      <w:color w:val="auto"/>
                      <w:szCs w:val="21"/>
                    </w:rPr>
                    <w:t>管控单元类别</w:t>
                  </w:r>
                </w:p>
              </w:tc>
              <w:tc>
                <w:tcPr>
                  <w:tcW w:w="1978" w:type="pct"/>
                  <w:gridSpan w:val="2"/>
                  <w:noWrap w:val="0"/>
                  <w:vAlign w:val="center"/>
                </w:tcPr>
                <w:p>
                  <w:pPr>
                    <w:jc w:val="center"/>
                    <w:rPr>
                      <w:color w:val="auto"/>
                      <w:szCs w:val="21"/>
                    </w:rPr>
                  </w:pPr>
                  <w:r>
                    <w:rPr>
                      <w:color w:val="auto"/>
                      <w:kern w:val="0"/>
                      <w:szCs w:val="21"/>
                    </w:rPr>
                    <w:t>管控要求</w:t>
                  </w:r>
                </w:p>
              </w:tc>
              <w:tc>
                <w:tcPr>
                  <w:tcW w:w="991" w:type="pct"/>
                  <w:noWrap w:val="0"/>
                  <w:vAlign w:val="center"/>
                </w:tcPr>
                <w:p>
                  <w:pPr>
                    <w:jc w:val="center"/>
                    <w:rPr>
                      <w:color w:val="auto"/>
                      <w:szCs w:val="21"/>
                    </w:rPr>
                  </w:pPr>
                  <w:r>
                    <w:rPr>
                      <w:rFonts w:hint="eastAsia"/>
                      <w:color w:val="auto"/>
                      <w:szCs w:val="21"/>
                    </w:rPr>
                    <w:t>项目情况</w:t>
                  </w:r>
                </w:p>
              </w:tc>
              <w:tc>
                <w:tcPr>
                  <w:tcW w:w="381" w:type="pct"/>
                  <w:noWrap w:val="0"/>
                  <w:vAlign w:val="center"/>
                </w:tcPr>
                <w:p>
                  <w:pPr>
                    <w:jc w:val="center"/>
                    <w:rPr>
                      <w:color w:val="auto"/>
                      <w:szCs w:val="21"/>
                    </w:rPr>
                  </w:pPr>
                  <w:r>
                    <w:rPr>
                      <w:color w:val="auto"/>
                      <w:szCs w:val="21"/>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528" w:type="pct"/>
                  <w:vMerge w:val="restart"/>
                  <w:noWrap w:val="0"/>
                  <w:vAlign w:val="center"/>
                </w:tcPr>
                <w:p>
                  <w:pPr>
                    <w:widowControl/>
                    <w:jc w:val="center"/>
                    <w:rPr>
                      <w:color w:val="auto"/>
                      <w:szCs w:val="21"/>
                    </w:rPr>
                  </w:pPr>
                  <w:r>
                    <w:rPr>
                      <w:color w:val="auto"/>
                      <w:szCs w:val="21"/>
                    </w:rPr>
                    <w:t>ZH</w:t>
                  </w:r>
                  <w:r>
                    <w:rPr>
                      <w:rFonts w:eastAsia="仿宋_GB2312"/>
                      <w:color w:val="auto"/>
                      <w:szCs w:val="21"/>
                    </w:rPr>
                    <w:t>23120220002</w:t>
                  </w:r>
                </w:p>
              </w:tc>
              <w:tc>
                <w:tcPr>
                  <w:tcW w:w="525" w:type="pct"/>
                  <w:vMerge w:val="restart"/>
                  <w:noWrap w:val="0"/>
                  <w:vAlign w:val="center"/>
                </w:tcPr>
                <w:p>
                  <w:pPr>
                    <w:widowControl/>
                    <w:jc w:val="center"/>
                    <w:rPr>
                      <w:color w:val="auto"/>
                      <w:szCs w:val="21"/>
                    </w:rPr>
                  </w:pPr>
                  <w:r>
                    <w:rPr>
                      <w:rFonts w:hint="eastAsia"/>
                      <w:color w:val="auto"/>
                      <w:szCs w:val="21"/>
                    </w:rPr>
                    <w:t>北林区</w:t>
                  </w:r>
                  <w:r>
                    <w:rPr>
                      <w:color w:val="auto"/>
                      <w:szCs w:val="21"/>
                    </w:rPr>
                    <w:t>城镇空间</w:t>
                  </w:r>
                </w:p>
                <w:p>
                  <w:pPr>
                    <w:widowControl/>
                    <w:jc w:val="left"/>
                    <w:rPr>
                      <w:color w:val="auto"/>
                      <w:szCs w:val="21"/>
                    </w:rPr>
                  </w:pPr>
                </w:p>
              </w:tc>
              <w:tc>
                <w:tcPr>
                  <w:tcW w:w="597" w:type="pct"/>
                  <w:vMerge w:val="restart"/>
                  <w:noWrap w:val="0"/>
                  <w:vAlign w:val="center"/>
                </w:tcPr>
                <w:p>
                  <w:pPr>
                    <w:widowControl/>
                    <w:jc w:val="center"/>
                    <w:rPr>
                      <w:color w:val="auto"/>
                      <w:szCs w:val="21"/>
                    </w:rPr>
                  </w:pPr>
                  <w:r>
                    <w:rPr>
                      <w:rFonts w:hint="eastAsia"/>
                      <w:color w:val="auto"/>
                      <w:szCs w:val="21"/>
                    </w:rPr>
                    <w:t>重点</w:t>
                  </w:r>
                  <w:r>
                    <w:rPr>
                      <w:color w:val="auto"/>
                      <w:szCs w:val="21"/>
                    </w:rPr>
                    <w:t>管控单元</w:t>
                  </w:r>
                </w:p>
              </w:tc>
              <w:tc>
                <w:tcPr>
                  <w:tcW w:w="329" w:type="pct"/>
                  <w:noWrap w:val="0"/>
                  <w:vAlign w:val="center"/>
                </w:tcPr>
                <w:p>
                  <w:pPr>
                    <w:widowControl/>
                    <w:jc w:val="center"/>
                    <w:rPr>
                      <w:color w:val="auto"/>
                      <w:szCs w:val="21"/>
                    </w:rPr>
                  </w:pPr>
                  <w:r>
                    <w:rPr>
                      <w:color w:val="auto"/>
                      <w:szCs w:val="21"/>
                    </w:rPr>
                    <w:t>空间布</w:t>
                  </w:r>
                </w:p>
                <w:p>
                  <w:pPr>
                    <w:widowControl/>
                    <w:jc w:val="left"/>
                    <w:rPr>
                      <w:color w:val="auto"/>
                      <w:szCs w:val="21"/>
                    </w:rPr>
                  </w:pPr>
                  <w:r>
                    <w:rPr>
                      <w:color w:val="auto"/>
                      <w:szCs w:val="21"/>
                    </w:rPr>
                    <w:t>局约束</w:t>
                  </w:r>
                </w:p>
              </w:tc>
              <w:tc>
                <w:tcPr>
                  <w:tcW w:w="1649" w:type="pct"/>
                  <w:noWrap w:val="0"/>
                  <w:vAlign w:val="center"/>
                </w:tcPr>
                <w:p>
                  <w:pPr>
                    <w:widowControl/>
                    <w:jc w:val="center"/>
                    <w:rPr>
                      <w:color w:val="auto"/>
                      <w:szCs w:val="21"/>
                    </w:rPr>
                  </w:pPr>
                  <w:r>
                    <w:rPr>
                      <w:rFonts w:hint="eastAsia"/>
                      <w:color w:val="auto"/>
                      <w:szCs w:val="21"/>
                    </w:rPr>
                    <w:t>（1）严禁在人口密集区新建危险化学品生产项目，城镇人口密集区危险化学品生产企业应搬迁改造。（2）禁止在城镇居民区、文化教育科学研究区等人口集中区域建设畜禽养殖场、养殖小区</w:t>
                  </w:r>
                  <w:r>
                    <w:rPr>
                      <w:color w:val="auto"/>
                      <w:szCs w:val="21"/>
                    </w:rPr>
                    <w:t>。</w:t>
                  </w:r>
                </w:p>
              </w:tc>
              <w:tc>
                <w:tcPr>
                  <w:tcW w:w="991" w:type="pct"/>
                  <w:noWrap w:val="0"/>
                  <w:vAlign w:val="center"/>
                </w:tcPr>
                <w:p>
                  <w:pPr>
                    <w:widowControl/>
                    <w:jc w:val="left"/>
                    <w:rPr>
                      <w:color w:val="auto"/>
                      <w:szCs w:val="21"/>
                    </w:rPr>
                  </w:pPr>
                  <w:r>
                    <w:rPr>
                      <w:color w:val="auto"/>
                      <w:szCs w:val="21"/>
                    </w:rPr>
                    <w:t>本项目为热力生产和供应工程。</w:t>
                  </w:r>
                </w:p>
              </w:tc>
              <w:tc>
                <w:tcPr>
                  <w:tcW w:w="381" w:type="pct"/>
                  <w:noWrap w:val="0"/>
                  <w:vAlign w:val="center"/>
                </w:tcPr>
                <w:p>
                  <w:pPr>
                    <w:widowControl/>
                    <w:jc w:val="center"/>
                    <w:rPr>
                      <w:rFonts w:hint="eastAsia"/>
                      <w:color w:val="auto"/>
                      <w:szCs w:val="21"/>
                    </w:rPr>
                  </w:pPr>
                  <w:r>
                    <w:rPr>
                      <w:rFonts w:hint="eastAsia"/>
                      <w:color w:val="auto"/>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528" w:type="pct"/>
                  <w:vMerge w:val="continue"/>
                  <w:noWrap w:val="0"/>
                  <w:vAlign w:val="center"/>
                </w:tcPr>
                <w:p>
                  <w:pPr>
                    <w:widowControl/>
                    <w:jc w:val="center"/>
                    <w:rPr>
                      <w:color w:val="auto"/>
                      <w:szCs w:val="21"/>
                    </w:rPr>
                  </w:pPr>
                </w:p>
              </w:tc>
              <w:tc>
                <w:tcPr>
                  <w:tcW w:w="525" w:type="pct"/>
                  <w:vMerge w:val="continue"/>
                  <w:noWrap w:val="0"/>
                  <w:vAlign w:val="center"/>
                </w:tcPr>
                <w:p>
                  <w:pPr>
                    <w:widowControl/>
                    <w:jc w:val="center"/>
                    <w:rPr>
                      <w:rFonts w:hint="eastAsia"/>
                      <w:color w:val="auto"/>
                      <w:szCs w:val="21"/>
                    </w:rPr>
                  </w:pPr>
                </w:p>
              </w:tc>
              <w:tc>
                <w:tcPr>
                  <w:tcW w:w="597" w:type="pct"/>
                  <w:vMerge w:val="continue"/>
                  <w:noWrap w:val="0"/>
                  <w:vAlign w:val="center"/>
                </w:tcPr>
                <w:p>
                  <w:pPr>
                    <w:widowControl/>
                    <w:jc w:val="center"/>
                    <w:rPr>
                      <w:rFonts w:hint="eastAsia"/>
                      <w:color w:val="auto"/>
                      <w:szCs w:val="21"/>
                    </w:rPr>
                  </w:pPr>
                </w:p>
              </w:tc>
              <w:tc>
                <w:tcPr>
                  <w:tcW w:w="329" w:type="pct"/>
                  <w:noWrap w:val="0"/>
                  <w:vAlign w:val="center"/>
                </w:tcPr>
                <w:p>
                  <w:pPr>
                    <w:widowControl/>
                    <w:jc w:val="center"/>
                    <w:rPr>
                      <w:color w:val="auto"/>
                      <w:szCs w:val="21"/>
                    </w:rPr>
                  </w:pPr>
                  <w:r>
                    <w:rPr>
                      <w:color w:val="auto"/>
                      <w:szCs w:val="21"/>
                    </w:rPr>
                    <w:t>污染物排放管控</w:t>
                  </w:r>
                </w:p>
              </w:tc>
              <w:tc>
                <w:tcPr>
                  <w:tcW w:w="1649" w:type="pct"/>
                  <w:noWrap w:val="0"/>
                  <w:vAlign w:val="center"/>
                </w:tcPr>
                <w:p>
                  <w:pPr>
                    <w:widowControl/>
                    <w:jc w:val="center"/>
                    <w:rPr>
                      <w:color w:val="auto"/>
                      <w:szCs w:val="21"/>
                    </w:rPr>
                  </w:pPr>
                  <w:r>
                    <w:rPr>
                      <w:color w:val="auto"/>
                      <w:szCs w:val="21"/>
                    </w:rPr>
                    <w:t>（</w:t>
                  </w:r>
                  <w:r>
                    <w:rPr>
                      <w:rFonts w:hint="eastAsia"/>
                      <w:color w:val="auto"/>
                      <w:szCs w:val="21"/>
                    </w:rPr>
                    <w:t>1</w:t>
                  </w:r>
                  <w:r>
                    <w:rPr>
                      <w:color w:val="auto"/>
                      <w:szCs w:val="21"/>
                    </w:rPr>
                    <w:t>）城市建成区和工业园区内新建、改扩建项目废气污染物二氧化硫、氮氧化物、细颗粒物排放总量应等量置换。（</w:t>
                  </w:r>
                  <w:r>
                    <w:rPr>
                      <w:rFonts w:hint="eastAsia"/>
                      <w:color w:val="auto"/>
                      <w:szCs w:val="21"/>
                    </w:rPr>
                    <w:t>2</w:t>
                  </w:r>
                  <w:r>
                    <w:rPr>
                      <w:color w:val="auto"/>
                      <w:szCs w:val="21"/>
                    </w:rPr>
                    <w:t>）</w:t>
                  </w:r>
                  <w:r>
                    <w:rPr>
                      <w:rFonts w:hint="eastAsia"/>
                      <w:color w:val="auto"/>
                      <w:szCs w:val="21"/>
                    </w:rPr>
                    <w:t>加快65t/h以上燃煤锅炉（含电力）超低排放改造。</w:t>
                  </w:r>
                </w:p>
              </w:tc>
              <w:tc>
                <w:tcPr>
                  <w:tcW w:w="991" w:type="pct"/>
                  <w:noWrap w:val="0"/>
                  <w:vAlign w:val="center"/>
                </w:tcPr>
                <w:p>
                  <w:pPr>
                    <w:widowControl/>
                    <w:jc w:val="left"/>
                    <w:rPr>
                      <w:color w:val="auto"/>
                      <w:szCs w:val="21"/>
                    </w:rPr>
                  </w:pPr>
                  <w:r>
                    <w:rPr>
                      <w:bCs/>
                      <w:color w:val="auto"/>
                      <w:szCs w:val="21"/>
                    </w:rPr>
                    <w:t>本项目位于</w:t>
                  </w:r>
                  <w:r>
                    <w:rPr>
                      <w:color w:val="auto"/>
                      <w:szCs w:val="21"/>
                    </w:rPr>
                    <w:t>绥化市北林区东津镇原种子站西</w:t>
                  </w:r>
                  <w:r>
                    <w:rPr>
                      <w:rFonts w:hint="eastAsia"/>
                      <w:color w:val="auto"/>
                      <w:szCs w:val="21"/>
                    </w:rPr>
                    <w:t>侧</w:t>
                  </w:r>
                  <w:r>
                    <w:rPr>
                      <w:rFonts w:hint="eastAsia"/>
                      <w:bCs/>
                      <w:color w:val="auto"/>
                      <w:szCs w:val="21"/>
                    </w:rPr>
                    <w:t>，</w:t>
                  </w:r>
                  <w:r>
                    <w:rPr>
                      <w:color w:val="auto"/>
                      <w:szCs w:val="21"/>
                    </w:rPr>
                    <w:t>二氧化硫、氮氧化物、细颗粒物排放总量根据绥化市区域消减总量进行等量置换。</w:t>
                  </w:r>
                </w:p>
              </w:tc>
              <w:tc>
                <w:tcPr>
                  <w:tcW w:w="381" w:type="pct"/>
                  <w:noWrap w:val="0"/>
                  <w:vAlign w:val="center"/>
                </w:tcPr>
                <w:p>
                  <w:pPr>
                    <w:widowControl/>
                    <w:jc w:val="center"/>
                    <w:rPr>
                      <w:rFonts w:hint="eastAsia"/>
                      <w:color w:val="auto"/>
                      <w:szCs w:val="21"/>
                    </w:rPr>
                  </w:pPr>
                  <w:r>
                    <w:rPr>
                      <w:rFonts w:hint="eastAsia"/>
                      <w:color w:val="auto"/>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528" w:type="pct"/>
                  <w:vMerge w:val="continue"/>
                  <w:noWrap w:val="0"/>
                  <w:vAlign w:val="center"/>
                </w:tcPr>
                <w:p>
                  <w:pPr>
                    <w:widowControl/>
                    <w:jc w:val="center"/>
                    <w:rPr>
                      <w:color w:val="auto"/>
                      <w:szCs w:val="21"/>
                    </w:rPr>
                  </w:pPr>
                </w:p>
              </w:tc>
              <w:tc>
                <w:tcPr>
                  <w:tcW w:w="525" w:type="pct"/>
                  <w:vMerge w:val="continue"/>
                  <w:noWrap w:val="0"/>
                  <w:vAlign w:val="center"/>
                </w:tcPr>
                <w:p>
                  <w:pPr>
                    <w:widowControl/>
                    <w:jc w:val="center"/>
                    <w:rPr>
                      <w:rFonts w:hint="eastAsia"/>
                      <w:color w:val="auto"/>
                      <w:szCs w:val="21"/>
                    </w:rPr>
                  </w:pPr>
                </w:p>
              </w:tc>
              <w:tc>
                <w:tcPr>
                  <w:tcW w:w="597" w:type="pct"/>
                  <w:vMerge w:val="continue"/>
                  <w:noWrap w:val="0"/>
                  <w:vAlign w:val="center"/>
                </w:tcPr>
                <w:p>
                  <w:pPr>
                    <w:widowControl/>
                    <w:jc w:val="center"/>
                    <w:rPr>
                      <w:rFonts w:hint="eastAsia"/>
                      <w:color w:val="auto"/>
                      <w:szCs w:val="21"/>
                    </w:rPr>
                  </w:pPr>
                </w:p>
              </w:tc>
              <w:tc>
                <w:tcPr>
                  <w:tcW w:w="329" w:type="pct"/>
                  <w:noWrap w:val="0"/>
                  <w:vAlign w:val="center"/>
                </w:tcPr>
                <w:p>
                  <w:pPr>
                    <w:widowControl/>
                    <w:jc w:val="center"/>
                    <w:rPr>
                      <w:color w:val="auto"/>
                      <w:szCs w:val="21"/>
                    </w:rPr>
                  </w:pPr>
                  <w:r>
                    <w:rPr>
                      <w:color w:val="auto"/>
                      <w:szCs w:val="21"/>
                    </w:rPr>
                    <w:t>环境风险防控</w:t>
                  </w:r>
                </w:p>
              </w:tc>
              <w:tc>
                <w:tcPr>
                  <w:tcW w:w="1649" w:type="pct"/>
                  <w:noWrap w:val="0"/>
                  <w:vAlign w:val="center"/>
                </w:tcPr>
                <w:p>
                  <w:pPr>
                    <w:widowControl/>
                    <w:jc w:val="center"/>
                    <w:rPr>
                      <w:color w:val="auto"/>
                      <w:szCs w:val="21"/>
                    </w:rPr>
                  </w:pPr>
                  <w:r>
                    <w:rPr>
                      <w:color w:val="auto"/>
                      <w:szCs w:val="21"/>
                    </w:rPr>
                    <w:t>执行</w:t>
                  </w:r>
                  <w:r>
                    <w:rPr>
                      <w:rFonts w:hint="eastAsia"/>
                      <w:color w:val="auto"/>
                      <w:szCs w:val="21"/>
                    </w:rPr>
                    <w:t>化工园区与城市建成区、人员密集场所、重要设施、敏感目标等应当保持规定的安全距离，相对封闭，不应保留常住居民，非关联企业和产业要逐步搬迁或退出，妥善防范化解“邻避”问题。严禁在松花江干流及一级支流沿岸1公里范围内布局化工园区。</w:t>
                  </w:r>
                </w:p>
              </w:tc>
              <w:tc>
                <w:tcPr>
                  <w:tcW w:w="991" w:type="pct"/>
                  <w:noWrap w:val="0"/>
                  <w:vAlign w:val="center"/>
                </w:tcPr>
                <w:p>
                  <w:pPr>
                    <w:widowControl/>
                    <w:jc w:val="left"/>
                    <w:rPr>
                      <w:color w:val="auto"/>
                      <w:szCs w:val="21"/>
                    </w:rPr>
                  </w:pPr>
                  <w:r>
                    <w:rPr>
                      <w:bCs/>
                      <w:color w:val="auto"/>
                      <w:szCs w:val="21"/>
                    </w:rPr>
                    <w:t>本项目位于</w:t>
                  </w:r>
                  <w:r>
                    <w:rPr>
                      <w:color w:val="auto"/>
                      <w:szCs w:val="21"/>
                    </w:rPr>
                    <w:t>绥化市北林区东津镇原种子站西</w:t>
                  </w:r>
                  <w:r>
                    <w:rPr>
                      <w:rFonts w:hint="eastAsia"/>
                      <w:color w:val="auto"/>
                      <w:szCs w:val="21"/>
                    </w:rPr>
                    <w:t>侧</w:t>
                  </w:r>
                  <w:r>
                    <w:rPr>
                      <w:rFonts w:hint="eastAsia"/>
                      <w:bCs/>
                      <w:color w:val="auto"/>
                      <w:szCs w:val="21"/>
                    </w:rPr>
                    <w:t>，不位于化工园区。</w:t>
                  </w:r>
                </w:p>
              </w:tc>
              <w:tc>
                <w:tcPr>
                  <w:tcW w:w="381" w:type="pct"/>
                  <w:noWrap w:val="0"/>
                  <w:vAlign w:val="center"/>
                </w:tcPr>
                <w:p>
                  <w:pPr>
                    <w:widowControl/>
                    <w:jc w:val="center"/>
                    <w:rPr>
                      <w:rFonts w:hint="eastAsia"/>
                      <w:color w:val="auto"/>
                      <w:szCs w:val="21"/>
                    </w:rPr>
                  </w:pPr>
                  <w:r>
                    <w:rPr>
                      <w:rFonts w:hint="eastAsia"/>
                      <w:color w:val="auto"/>
                      <w:szCs w:val="21"/>
                    </w:rPr>
                    <w:t>符合</w:t>
                  </w:r>
                </w:p>
              </w:tc>
            </w:tr>
          </w:tbl>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autoSpaceDE w:val="0"/>
              <w:autoSpaceDN w:val="0"/>
              <w:adjustRightInd w:val="0"/>
              <w:snapToGrid w:val="0"/>
              <w:spacing w:line="360" w:lineRule="auto"/>
              <w:ind w:left="420" w:leftChars="200"/>
              <w:jc w:val="center"/>
              <w:rPr>
                <w:b/>
                <w:color w:val="auto"/>
                <w:sz w:val="24"/>
              </w:rPr>
            </w:pPr>
            <w:r>
              <w:rPr>
                <w:b/>
                <w:color w:val="auto"/>
                <w:sz w:val="24"/>
              </w:rPr>
              <w:t>续表1-1 生态环境准入清单管控要求符合性分析</w:t>
            </w:r>
          </w:p>
          <w:tbl>
            <w:tblPr>
              <w:tblStyle w:val="15"/>
              <w:tblpPr w:leftFromText="180" w:rightFromText="180" w:vertAnchor="text" w:tblpXSpec="center" w:tblpY="1"/>
              <w:tblOverlap w:val="never"/>
              <w:tblW w:w="6445"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0"/>
              <w:gridCol w:w="677"/>
              <w:gridCol w:w="770"/>
              <w:gridCol w:w="424"/>
              <w:gridCol w:w="2126"/>
              <w:gridCol w:w="1277"/>
              <w:gridCol w:w="49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300" w:hRule="atLeast"/>
              </w:trPr>
              <w:tc>
                <w:tcPr>
                  <w:tcW w:w="528" w:type="pct"/>
                  <w:noWrap w:val="0"/>
                  <w:vAlign w:val="center"/>
                </w:tcPr>
                <w:p>
                  <w:pPr>
                    <w:widowControl/>
                    <w:jc w:val="center"/>
                    <w:rPr>
                      <w:color w:val="auto"/>
                      <w:szCs w:val="21"/>
                    </w:rPr>
                  </w:pPr>
                  <w:r>
                    <w:rPr>
                      <w:color w:val="auto"/>
                      <w:szCs w:val="21"/>
                    </w:rPr>
                    <w:t>ZH</w:t>
                  </w:r>
                  <w:r>
                    <w:rPr>
                      <w:rFonts w:eastAsia="仿宋_GB2312"/>
                      <w:color w:val="auto"/>
                      <w:szCs w:val="21"/>
                    </w:rPr>
                    <w:t>23120220002</w:t>
                  </w:r>
                </w:p>
              </w:tc>
              <w:tc>
                <w:tcPr>
                  <w:tcW w:w="525" w:type="pct"/>
                  <w:noWrap w:val="0"/>
                  <w:vAlign w:val="center"/>
                </w:tcPr>
                <w:p>
                  <w:pPr>
                    <w:widowControl/>
                    <w:jc w:val="center"/>
                    <w:rPr>
                      <w:color w:val="auto"/>
                      <w:szCs w:val="21"/>
                    </w:rPr>
                  </w:pPr>
                  <w:r>
                    <w:rPr>
                      <w:rFonts w:hint="eastAsia"/>
                      <w:color w:val="auto"/>
                      <w:szCs w:val="21"/>
                    </w:rPr>
                    <w:t>北林区</w:t>
                  </w:r>
                  <w:r>
                    <w:rPr>
                      <w:color w:val="auto"/>
                      <w:szCs w:val="21"/>
                    </w:rPr>
                    <w:t>城镇空间</w:t>
                  </w:r>
                </w:p>
                <w:p>
                  <w:pPr>
                    <w:widowControl/>
                    <w:jc w:val="left"/>
                    <w:rPr>
                      <w:color w:val="auto"/>
                      <w:szCs w:val="21"/>
                    </w:rPr>
                  </w:pPr>
                </w:p>
              </w:tc>
              <w:tc>
                <w:tcPr>
                  <w:tcW w:w="597" w:type="pct"/>
                  <w:noWrap w:val="0"/>
                  <w:vAlign w:val="center"/>
                </w:tcPr>
                <w:p>
                  <w:pPr>
                    <w:widowControl/>
                    <w:jc w:val="center"/>
                    <w:rPr>
                      <w:color w:val="auto"/>
                      <w:szCs w:val="21"/>
                    </w:rPr>
                  </w:pPr>
                  <w:r>
                    <w:rPr>
                      <w:rFonts w:hint="eastAsia"/>
                      <w:color w:val="auto"/>
                      <w:szCs w:val="21"/>
                    </w:rPr>
                    <w:t>重点</w:t>
                  </w:r>
                  <w:r>
                    <w:rPr>
                      <w:color w:val="auto"/>
                      <w:szCs w:val="21"/>
                    </w:rPr>
                    <w:t>管控单元</w:t>
                  </w:r>
                </w:p>
              </w:tc>
              <w:tc>
                <w:tcPr>
                  <w:tcW w:w="329" w:type="pct"/>
                  <w:noWrap w:val="0"/>
                  <w:vAlign w:val="center"/>
                </w:tcPr>
                <w:p>
                  <w:pPr>
                    <w:widowControl/>
                    <w:jc w:val="center"/>
                    <w:rPr>
                      <w:color w:val="auto"/>
                      <w:szCs w:val="21"/>
                    </w:rPr>
                  </w:pPr>
                  <w:r>
                    <w:rPr>
                      <w:color w:val="auto"/>
                      <w:szCs w:val="21"/>
                    </w:rPr>
                    <w:t>资源利用效率要求</w:t>
                  </w:r>
                </w:p>
              </w:tc>
              <w:tc>
                <w:tcPr>
                  <w:tcW w:w="1649" w:type="pct"/>
                  <w:noWrap w:val="0"/>
                  <w:vAlign w:val="center"/>
                </w:tcPr>
                <w:p>
                  <w:pPr>
                    <w:widowControl/>
                    <w:jc w:val="left"/>
                    <w:rPr>
                      <w:rFonts w:hint="eastAsia"/>
                      <w:color w:val="auto"/>
                      <w:szCs w:val="21"/>
                    </w:rPr>
                  </w:pPr>
                  <w:r>
                    <w:rPr>
                      <w:color w:val="auto"/>
                      <w:szCs w:val="21"/>
                    </w:rPr>
                    <w:t>1.执行</w:t>
                  </w:r>
                  <w:r>
                    <w:rPr>
                      <w:rFonts w:hint="eastAsia"/>
                      <w:color w:val="auto"/>
                      <w:szCs w:val="21"/>
                    </w:rPr>
                    <w:t>（1）推进污水再生利用设施建设。（2）公共建筑必须采用节水器具，限期淘汰公共建筑中不符合节水标准的水嘴、便器水箱等生活用水器具。</w:t>
                  </w:r>
                </w:p>
                <w:p>
                  <w:pPr>
                    <w:widowControl/>
                    <w:jc w:val="left"/>
                    <w:rPr>
                      <w:color w:val="auto"/>
                      <w:szCs w:val="21"/>
                    </w:rPr>
                  </w:pPr>
                  <w:r>
                    <w:rPr>
                      <w:rFonts w:hint="eastAsia"/>
                      <w:color w:val="auto"/>
                      <w:szCs w:val="21"/>
                    </w:rPr>
                    <w:t>2</w:t>
                  </w:r>
                  <w:r>
                    <w:rPr>
                      <w:color w:val="auto"/>
                      <w:szCs w:val="21"/>
                    </w:rPr>
                    <w:t>.高污染燃料禁燃区</w:t>
                  </w:r>
                  <w:r>
                    <w:rPr>
                      <w:rFonts w:hint="eastAsia"/>
                      <w:color w:val="auto"/>
                      <w:szCs w:val="21"/>
                    </w:rPr>
                    <w:t>同时</w:t>
                  </w:r>
                  <w:r>
                    <w:rPr>
                      <w:color w:val="auto"/>
                      <w:szCs w:val="21"/>
                    </w:rPr>
                    <w:t>执行</w:t>
                  </w:r>
                  <w:r>
                    <w:rPr>
                      <w:rFonts w:hint="eastAsia"/>
                      <w:color w:val="auto"/>
                      <w:szCs w:val="21"/>
                    </w:rPr>
                    <w:t>（1）在禁燃区内，禁止销售、燃用高污染燃料；禁止新建、扩建燃用高污染燃料的设施，已建成的，应当在城市人民政府规定的期限内改用天然气、页岩气、液化石油气、电或者其他清洁能源。（2）城市建设应当统筹规划，在燃煤供热地区，推进热电联产和集中供热。在集中供热管网覆盖地区，禁止新建、扩建分散燃煤供热锅炉；已建成的不能达标排放的燃煤供热锅炉，应当在城市人民政府规定的期限内拆除。</w:t>
                  </w:r>
                </w:p>
              </w:tc>
              <w:tc>
                <w:tcPr>
                  <w:tcW w:w="991" w:type="pct"/>
                  <w:noWrap w:val="0"/>
                  <w:vAlign w:val="center"/>
                </w:tcPr>
                <w:p>
                  <w:pPr>
                    <w:widowControl/>
                    <w:jc w:val="center"/>
                    <w:rPr>
                      <w:color w:val="auto"/>
                      <w:szCs w:val="21"/>
                    </w:rPr>
                  </w:pPr>
                  <w:r>
                    <w:rPr>
                      <w:color w:val="auto"/>
                      <w:szCs w:val="21"/>
                    </w:rPr>
                    <w:t>本项目大部分生产用水量循环使用，不属于高水耗行业。</w:t>
                  </w:r>
                  <w:r>
                    <w:rPr>
                      <w:bCs/>
                      <w:color w:val="auto"/>
                      <w:szCs w:val="21"/>
                    </w:rPr>
                    <w:t>本项目锅炉采用</w:t>
                  </w:r>
                  <w:r>
                    <w:rPr>
                      <w:rFonts w:hint="eastAsia"/>
                      <w:bCs/>
                      <w:color w:val="auto"/>
                      <w:szCs w:val="21"/>
                    </w:rPr>
                    <w:t>生物质专用锅炉，</w:t>
                  </w:r>
                  <w:r>
                    <w:rPr>
                      <w:bCs/>
                      <w:color w:val="auto"/>
                      <w:szCs w:val="21"/>
                    </w:rPr>
                    <w:t>燃料为生物质燃料，不属于</w:t>
                  </w:r>
                  <w:r>
                    <w:rPr>
                      <w:rFonts w:hint="eastAsia"/>
                      <w:bCs/>
                      <w:color w:val="auto"/>
                      <w:szCs w:val="21"/>
                    </w:rPr>
                    <w:t>&lt;高污染燃料目录&gt;中的</w:t>
                  </w:r>
                  <w:r>
                    <w:rPr>
                      <w:bCs/>
                      <w:color w:val="auto"/>
                      <w:szCs w:val="21"/>
                    </w:rPr>
                    <w:t>Ⅱ类高污染燃料</w:t>
                  </w:r>
                  <w:r>
                    <w:rPr>
                      <w:rFonts w:hint="eastAsia"/>
                      <w:bCs/>
                      <w:color w:val="auto"/>
                      <w:szCs w:val="21"/>
                    </w:rPr>
                    <w:t>。</w:t>
                  </w:r>
                </w:p>
              </w:tc>
              <w:tc>
                <w:tcPr>
                  <w:tcW w:w="381" w:type="pct"/>
                  <w:noWrap w:val="0"/>
                  <w:vAlign w:val="center"/>
                </w:tcPr>
                <w:p>
                  <w:pPr>
                    <w:widowControl/>
                    <w:jc w:val="center"/>
                    <w:rPr>
                      <w:rFonts w:hint="eastAsia"/>
                      <w:color w:val="auto"/>
                      <w:szCs w:val="21"/>
                    </w:rPr>
                  </w:pPr>
                  <w:r>
                    <w:rPr>
                      <w:rFonts w:hint="eastAsia"/>
                      <w:color w:val="auto"/>
                      <w:szCs w:val="21"/>
                    </w:rPr>
                    <w:t>符合</w:t>
                  </w:r>
                </w:p>
              </w:tc>
            </w:tr>
          </w:tbl>
          <w:p>
            <w:pPr>
              <w:autoSpaceDE w:val="0"/>
              <w:autoSpaceDN w:val="0"/>
              <w:adjustRightInd w:val="0"/>
              <w:snapToGrid w:val="0"/>
              <w:spacing w:line="360" w:lineRule="auto"/>
              <w:ind w:firstLine="482" w:firstLineChars="200"/>
              <w:jc w:val="left"/>
              <w:rPr>
                <w:b/>
                <w:color w:val="auto"/>
                <w:kern w:val="0"/>
                <w:sz w:val="24"/>
              </w:rPr>
            </w:pPr>
            <w:r>
              <w:rPr>
                <w:b/>
                <w:color w:val="auto"/>
                <w:kern w:val="0"/>
                <w:sz w:val="24"/>
              </w:rPr>
              <w:t>3、选址合理性分析</w:t>
            </w:r>
          </w:p>
          <w:p>
            <w:pPr>
              <w:autoSpaceDE w:val="0"/>
              <w:autoSpaceDN w:val="0"/>
              <w:adjustRightInd w:val="0"/>
              <w:snapToGrid w:val="0"/>
              <w:spacing w:line="336" w:lineRule="auto"/>
              <w:ind w:firstLine="480" w:firstLineChars="200"/>
              <w:jc w:val="left"/>
              <w:rPr>
                <w:color w:val="auto"/>
                <w:kern w:val="0"/>
                <w:sz w:val="24"/>
              </w:rPr>
            </w:pPr>
            <w:r>
              <w:rPr>
                <w:color w:val="auto"/>
                <w:kern w:val="0"/>
                <w:sz w:val="24"/>
              </w:rPr>
              <w:t>本项目位于</w:t>
            </w:r>
            <w:r>
              <w:rPr>
                <w:bCs/>
                <w:color w:val="auto"/>
                <w:kern w:val="0"/>
                <w:sz w:val="24"/>
              </w:rPr>
              <w:t>绥化市北林区东津镇原种子站西</w:t>
            </w:r>
            <w:r>
              <w:rPr>
                <w:color w:val="auto"/>
                <w:kern w:val="0"/>
                <w:sz w:val="24"/>
              </w:rPr>
              <w:t>，</w:t>
            </w:r>
            <w:r>
              <w:rPr>
                <w:bCs/>
                <w:color w:val="auto"/>
                <w:kern w:val="0"/>
                <w:sz w:val="24"/>
              </w:rPr>
              <w:t>根据</w:t>
            </w:r>
            <w:r>
              <w:rPr>
                <w:rFonts w:hint="eastAsia"/>
                <w:color w:val="auto"/>
                <w:kern w:val="0"/>
                <w:sz w:val="24"/>
              </w:rPr>
              <w:t>用地</w:t>
            </w:r>
            <w:r>
              <w:rPr>
                <w:color w:val="auto"/>
                <w:kern w:val="0"/>
                <w:sz w:val="24"/>
              </w:rPr>
              <w:t>规划，</w:t>
            </w:r>
            <w:r>
              <w:rPr>
                <w:color w:val="auto"/>
                <w:sz w:val="24"/>
                <w:lang w:bidi="ar"/>
              </w:rPr>
              <w:t>项目用地为</w:t>
            </w:r>
            <w:r>
              <w:rPr>
                <w:rFonts w:hint="eastAsia"/>
                <w:color w:val="auto"/>
                <w:sz w:val="24"/>
                <w:lang w:bidi="ar"/>
              </w:rPr>
              <w:t>建设</w:t>
            </w:r>
            <w:r>
              <w:rPr>
                <w:color w:val="auto"/>
                <w:sz w:val="24"/>
                <w:lang w:bidi="ar"/>
              </w:rPr>
              <w:t>用地，</w:t>
            </w:r>
            <w:r>
              <w:rPr>
                <w:color w:val="auto"/>
                <w:kern w:val="0"/>
                <w:sz w:val="24"/>
              </w:rPr>
              <w:t>符合</w:t>
            </w:r>
            <w:r>
              <w:rPr>
                <w:rFonts w:hint="eastAsia"/>
                <w:color w:val="auto"/>
                <w:kern w:val="0"/>
                <w:sz w:val="24"/>
              </w:rPr>
              <w:t>绥化市北林区土地利用</w:t>
            </w:r>
            <w:r>
              <w:rPr>
                <w:color w:val="auto"/>
                <w:kern w:val="0"/>
                <w:sz w:val="24"/>
              </w:rPr>
              <w:t>规划。</w:t>
            </w:r>
          </w:p>
          <w:p>
            <w:pPr>
              <w:autoSpaceDE w:val="0"/>
              <w:autoSpaceDN w:val="0"/>
              <w:adjustRightInd w:val="0"/>
              <w:snapToGrid w:val="0"/>
              <w:spacing w:line="336" w:lineRule="auto"/>
              <w:ind w:firstLine="480" w:firstLineChars="200"/>
              <w:jc w:val="left"/>
              <w:rPr>
                <w:rFonts w:hint="eastAsia"/>
                <w:bCs/>
                <w:color w:val="auto"/>
                <w:kern w:val="0"/>
                <w:sz w:val="24"/>
              </w:rPr>
            </w:pPr>
            <w:r>
              <w:rPr>
                <w:color w:val="auto"/>
                <w:kern w:val="0"/>
                <w:sz w:val="24"/>
              </w:rPr>
              <w:t>项目北侧为</w:t>
            </w:r>
            <w:r>
              <w:rPr>
                <w:rFonts w:hint="eastAsia"/>
                <w:color w:val="auto"/>
                <w:kern w:val="0"/>
                <w:sz w:val="24"/>
              </w:rPr>
              <w:t>农田</w:t>
            </w:r>
            <w:r>
              <w:rPr>
                <w:color w:val="auto"/>
                <w:kern w:val="0"/>
                <w:sz w:val="24"/>
              </w:rPr>
              <w:t>；南侧为</w:t>
            </w:r>
            <w:r>
              <w:rPr>
                <w:rFonts w:hint="eastAsia"/>
                <w:color w:val="auto"/>
                <w:kern w:val="0"/>
                <w:sz w:val="24"/>
              </w:rPr>
              <w:t>供电所</w:t>
            </w:r>
            <w:r>
              <w:rPr>
                <w:color w:val="auto"/>
                <w:kern w:val="0"/>
                <w:sz w:val="24"/>
              </w:rPr>
              <w:t>；西侧为农田；东侧为</w:t>
            </w:r>
            <w:r>
              <w:rPr>
                <w:rFonts w:hint="eastAsia" w:hAnsi="宋体"/>
                <w:bCs/>
                <w:color w:val="auto"/>
                <w:sz w:val="24"/>
              </w:rPr>
              <w:t>Y020乡道，隔路为东津镇居民</w:t>
            </w:r>
            <w:r>
              <w:rPr>
                <w:rFonts w:hint="eastAsia"/>
                <w:color w:val="auto"/>
                <w:kern w:val="0"/>
                <w:sz w:val="24"/>
              </w:rPr>
              <w:t>（</w:t>
            </w:r>
            <w:r>
              <w:rPr>
                <w:bCs/>
                <w:color w:val="auto"/>
                <w:kern w:val="0"/>
                <w:sz w:val="24"/>
              </w:rPr>
              <w:t>项目四周照片见附图</w:t>
            </w:r>
            <w:r>
              <w:rPr>
                <w:rFonts w:hint="eastAsia"/>
                <w:bCs/>
                <w:color w:val="auto"/>
                <w:kern w:val="0"/>
                <w:sz w:val="24"/>
              </w:rPr>
              <w:t>4</w:t>
            </w:r>
            <w:r>
              <w:rPr>
                <w:rFonts w:hint="eastAsia"/>
                <w:color w:val="auto"/>
                <w:kern w:val="0"/>
                <w:sz w:val="24"/>
              </w:rPr>
              <w:t>）</w:t>
            </w:r>
            <w:r>
              <w:rPr>
                <w:bCs/>
                <w:color w:val="auto"/>
                <w:kern w:val="0"/>
                <w:sz w:val="24"/>
              </w:rPr>
              <w:t>。运营过程中产生的噪声、废水、废气等对周围环境将产生一定影响，但通过采取相应的环保措施可使该项目的环境影响降低。</w:t>
            </w:r>
          </w:p>
          <w:p>
            <w:pPr>
              <w:autoSpaceDE w:val="0"/>
              <w:autoSpaceDN w:val="0"/>
              <w:adjustRightInd w:val="0"/>
              <w:snapToGrid w:val="0"/>
              <w:spacing w:line="336" w:lineRule="auto"/>
              <w:ind w:firstLine="480" w:firstLineChars="200"/>
              <w:jc w:val="left"/>
              <w:rPr>
                <w:bCs/>
                <w:color w:val="auto"/>
                <w:kern w:val="0"/>
                <w:sz w:val="24"/>
              </w:rPr>
            </w:pPr>
            <w:r>
              <w:rPr>
                <w:bCs/>
                <w:color w:val="auto"/>
                <w:kern w:val="0"/>
                <w:sz w:val="24"/>
              </w:rPr>
              <w:t>综上所述，本项目选址合理。</w:t>
            </w:r>
          </w:p>
        </w:tc>
      </w:tr>
    </w:tbl>
    <w:p>
      <w:pPr>
        <w:spacing w:line="360" w:lineRule="auto"/>
        <w:outlineLvl w:val="0"/>
        <w:rPr>
          <w:color w:val="auto"/>
          <w:sz w:val="30"/>
        </w:rPr>
        <w:sectPr>
          <w:footerReference r:id="rId5" w:type="default"/>
          <w:pgSz w:w="11906" w:h="16838"/>
          <w:pgMar w:top="1701" w:right="1531" w:bottom="1701" w:left="1531" w:header="851" w:footer="1077" w:gutter="0"/>
          <w:pgNumType w:start="1"/>
          <w:cols w:space="720" w:num="1"/>
          <w:docGrid w:linePitch="312" w:charSpace="0"/>
        </w:sectPr>
      </w:pPr>
    </w:p>
    <w:p>
      <w:pPr>
        <w:pStyle w:val="12"/>
        <w:jc w:val="center"/>
        <w:outlineLvl w:val="0"/>
        <w:rPr>
          <w:rFonts w:ascii="Times New Roman" w:hAnsi="Times New Roman"/>
          <w:snapToGrid w:val="0"/>
          <w:color w:val="auto"/>
          <w:sz w:val="30"/>
          <w:szCs w:val="30"/>
        </w:rPr>
      </w:pPr>
      <w:bookmarkStart w:id="7" w:name="_Toc152227241"/>
      <w:r>
        <w:rPr>
          <w:rFonts w:ascii="Times New Roman" w:hAnsi="Times New Roman"/>
          <w:snapToGrid w:val="0"/>
          <w:color w:val="auto"/>
          <w:sz w:val="30"/>
          <w:szCs w:val="30"/>
        </w:rPr>
        <w:t>二、建设项目工程分析</w:t>
      </w:r>
      <w:bookmarkEnd w:id="7"/>
    </w:p>
    <w:tbl>
      <w:tblPr>
        <w:tblStyle w:val="15"/>
        <w:tblpPr w:leftFromText="180" w:rightFromText="180" w:vertAnchor="text" w:tblpXSpec="center" w:tblpY="1"/>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3"/>
        <w:gridCol w:w="83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86" w:hRule="atLeast"/>
        </w:trPr>
        <w:tc>
          <w:tcPr>
            <w:tcW w:w="713" w:type="dxa"/>
            <w:noWrap w:val="0"/>
            <w:vAlign w:val="center"/>
          </w:tcPr>
          <w:p>
            <w:pPr>
              <w:pStyle w:val="12"/>
              <w:adjustRightInd w:val="0"/>
              <w:snapToGrid w:val="0"/>
              <w:spacing w:before="0" w:beforeAutospacing="0" w:after="0" w:afterAutospacing="0"/>
              <w:jc w:val="center"/>
              <w:rPr>
                <w:rFonts w:ascii="Times New Roman" w:hAnsi="Times New Roman"/>
                <w:color w:val="auto"/>
                <w:szCs w:val="24"/>
                <w:lang w:val="en-US" w:eastAsia="zh-CN"/>
              </w:rPr>
            </w:pPr>
            <w:r>
              <w:rPr>
                <w:rFonts w:ascii="Times New Roman" w:hAnsi="Times New Roman"/>
                <w:color w:val="auto"/>
                <w:szCs w:val="24"/>
                <w:lang w:val="en-US" w:eastAsia="zh-CN"/>
              </w:rPr>
              <w:t>建设内容</w:t>
            </w:r>
          </w:p>
        </w:tc>
        <w:tc>
          <w:tcPr>
            <w:tcW w:w="8348" w:type="dxa"/>
            <w:noWrap w:val="0"/>
            <w:vAlign w:val="top"/>
          </w:tcPr>
          <w:p>
            <w:pPr>
              <w:spacing w:line="360" w:lineRule="auto"/>
              <w:ind w:firstLine="482" w:firstLineChars="200"/>
              <w:contextualSpacing/>
              <w:jc w:val="left"/>
              <w:rPr>
                <w:b/>
                <w:color w:val="auto"/>
                <w:kern w:val="0"/>
                <w:sz w:val="24"/>
              </w:rPr>
            </w:pPr>
            <w:r>
              <w:rPr>
                <w:b/>
                <w:color w:val="auto"/>
                <w:kern w:val="0"/>
                <w:sz w:val="24"/>
              </w:rPr>
              <w:t>1、工程概况及项目组成</w:t>
            </w:r>
          </w:p>
          <w:p>
            <w:pPr>
              <w:spacing w:line="360" w:lineRule="auto"/>
              <w:ind w:firstLine="480" w:firstLineChars="200"/>
              <w:contextualSpacing/>
              <w:rPr>
                <w:color w:val="auto"/>
                <w:sz w:val="24"/>
              </w:rPr>
            </w:pPr>
            <w:r>
              <w:rPr>
                <w:rFonts w:hAnsi="宋体"/>
                <w:bCs/>
                <w:color w:val="auto"/>
                <w:sz w:val="24"/>
              </w:rPr>
              <w:t>本项目位于</w:t>
            </w:r>
            <w:r>
              <w:rPr>
                <w:color w:val="auto"/>
                <w:kern w:val="0"/>
                <w:sz w:val="24"/>
              </w:rPr>
              <w:t>绥化市北林区东津镇原种子站西</w:t>
            </w:r>
            <w:r>
              <w:rPr>
                <w:rFonts w:hint="eastAsia"/>
                <w:color w:val="auto"/>
                <w:sz w:val="24"/>
              </w:rPr>
              <w:t>侧</w:t>
            </w:r>
            <w:r>
              <w:rPr>
                <w:rFonts w:hint="eastAsia" w:hAnsi="宋体"/>
                <w:bCs/>
                <w:color w:val="auto"/>
                <w:sz w:val="24"/>
              </w:rPr>
              <w:t>。本项目占地面积5800</w:t>
            </w:r>
            <w:r>
              <w:rPr>
                <w:rFonts w:hAnsi="宋体"/>
                <w:bCs/>
                <w:color w:val="auto"/>
                <w:sz w:val="24"/>
              </w:rPr>
              <w:t>m</w:t>
            </w:r>
            <w:r>
              <w:rPr>
                <w:rFonts w:hAnsi="宋体"/>
                <w:bCs/>
                <w:color w:val="auto"/>
                <w:sz w:val="24"/>
                <w:vertAlign w:val="superscript"/>
              </w:rPr>
              <w:t>2</w:t>
            </w:r>
            <w:r>
              <w:rPr>
                <w:rFonts w:hint="eastAsia" w:hAnsi="宋体"/>
                <w:bCs/>
                <w:color w:val="auto"/>
                <w:sz w:val="24"/>
              </w:rPr>
              <w:t>，建筑面积为646m</w:t>
            </w:r>
            <w:r>
              <w:rPr>
                <w:rFonts w:hint="eastAsia" w:hAnsi="宋体"/>
                <w:bCs/>
                <w:color w:val="auto"/>
                <w:sz w:val="24"/>
                <w:vertAlign w:val="superscript"/>
              </w:rPr>
              <w:t>2</w:t>
            </w:r>
            <w:r>
              <w:rPr>
                <w:rFonts w:hint="eastAsia" w:hAnsi="宋体"/>
                <w:bCs/>
                <w:color w:val="auto"/>
                <w:sz w:val="24"/>
              </w:rPr>
              <w:t>，锅炉房内设1台7MW生物质热水锅炉，锅炉采用低氮燃烧技术</w:t>
            </w:r>
            <w:r>
              <w:rPr>
                <w:rFonts w:hint="eastAsia"/>
                <w:color w:val="auto"/>
                <w:sz w:val="24"/>
              </w:rPr>
              <w:t>（脱硝效率为30%）</w:t>
            </w:r>
            <w:r>
              <w:rPr>
                <w:rFonts w:hint="eastAsia" w:hAnsi="宋体"/>
                <w:bCs/>
                <w:color w:val="auto"/>
                <w:sz w:val="24"/>
              </w:rPr>
              <w:t>，生物质锅炉烟气经陶瓷多管+布袋除尘器（除尘效率为99.6%）处理后由1根40米高烟囱排放</w:t>
            </w:r>
            <w:r>
              <w:rPr>
                <w:rFonts w:hAnsi="宋体"/>
                <w:bCs/>
                <w:color w:val="auto"/>
                <w:sz w:val="24"/>
              </w:rPr>
              <w:t>。</w:t>
            </w:r>
            <w:r>
              <w:rPr>
                <w:rFonts w:hint="eastAsia" w:hAnsi="宋体"/>
                <w:bCs/>
                <w:color w:val="auto"/>
                <w:sz w:val="24"/>
              </w:rPr>
              <w:t>本项目为利民新村小区供热</w:t>
            </w:r>
            <w:r>
              <w:rPr>
                <w:rFonts w:hint="eastAsia"/>
                <w:color w:val="auto"/>
              </w:rPr>
              <w:t>，</w:t>
            </w:r>
            <w:r>
              <w:rPr>
                <w:rFonts w:hint="eastAsia"/>
                <w:color w:val="auto"/>
                <w:sz w:val="24"/>
              </w:rPr>
              <w:t>供暖面积为5万m</w:t>
            </w:r>
            <w:r>
              <w:rPr>
                <w:rFonts w:hint="eastAsia"/>
                <w:color w:val="auto"/>
                <w:sz w:val="24"/>
                <w:vertAlign w:val="superscript"/>
              </w:rPr>
              <w:t>2</w:t>
            </w:r>
            <w:r>
              <w:rPr>
                <w:rFonts w:hint="eastAsia" w:hAnsi="宋体"/>
                <w:bCs/>
                <w:color w:val="auto"/>
                <w:sz w:val="24"/>
              </w:rPr>
              <w:t>。</w:t>
            </w:r>
            <w:r>
              <w:rPr>
                <w:rFonts w:hAnsi="宋体"/>
                <w:bCs/>
                <w:color w:val="auto"/>
                <w:sz w:val="24"/>
              </w:rPr>
              <w:t>具体工程组成见下表</w:t>
            </w:r>
            <w:r>
              <w:rPr>
                <w:bCs/>
                <w:color w:val="auto"/>
                <w:sz w:val="24"/>
              </w:rPr>
              <w:t>。</w:t>
            </w:r>
          </w:p>
          <w:p>
            <w:pPr>
              <w:pStyle w:val="34"/>
              <w:spacing w:beforeLines="0" w:afterLines="0"/>
              <w:ind w:firstLine="0" w:firstLineChars="0"/>
              <w:contextualSpacing/>
              <w:jc w:val="center"/>
              <w:textAlignment w:val="baseline"/>
              <w:rPr>
                <w:b/>
                <w:color w:val="auto"/>
                <w:lang w:val="en-US" w:eastAsia="zh-CN"/>
              </w:rPr>
            </w:pPr>
            <w:r>
              <w:rPr>
                <w:b/>
                <w:color w:val="auto"/>
                <w:lang w:val="en-US" w:eastAsia="zh-CN"/>
              </w:rPr>
              <w:t>表2-1 项目工程组成一览表</w:t>
            </w:r>
          </w:p>
          <w:tbl>
            <w:tblPr>
              <w:tblStyle w:val="15"/>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2"/>
              <w:gridCol w:w="826"/>
              <w:gridCol w:w="5904"/>
              <w:gridCol w:w="74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4" w:hRule="atLeast"/>
              </w:trPr>
              <w:tc>
                <w:tcPr>
                  <w:tcW w:w="915" w:type="pct"/>
                  <w:gridSpan w:val="2"/>
                  <w:noWrap w:val="0"/>
                  <w:vAlign w:val="center"/>
                </w:tcPr>
                <w:p>
                  <w:pPr>
                    <w:jc w:val="center"/>
                    <w:rPr>
                      <w:color w:val="auto"/>
                      <w:szCs w:val="21"/>
                    </w:rPr>
                  </w:pPr>
                  <w:r>
                    <w:rPr>
                      <w:rFonts w:hAnsi="宋体"/>
                      <w:color w:val="auto"/>
                      <w:szCs w:val="21"/>
                    </w:rPr>
                    <w:t>建设内容</w:t>
                  </w:r>
                </w:p>
              </w:tc>
              <w:tc>
                <w:tcPr>
                  <w:tcW w:w="3630" w:type="pct"/>
                  <w:noWrap w:val="0"/>
                  <w:vAlign w:val="center"/>
                </w:tcPr>
                <w:p>
                  <w:pPr>
                    <w:jc w:val="center"/>
                    <w:rPr>
                      <w:color w:val="auto"/>
                      <w:szCs w:val="21"/>
                    </w:rPr>
                  </w:pPr>
                  <w:r>
                    <w:rPr>
                      <w:rFonts w:hAnsi="宋体"/>
                      <w:color w:val="auto"/>
                      <w:szCs w:val="21"/>
                    </w:rPr>
                    <w:t>建设规模及内容</w:t>
                  </w:r>
                </w:p>
              </w:tc>
              <w:tc>
                <w:tcPr>
                  <w:tcW w:w="455" w:type="pct"/>
                  <w:tcBorders>
                    <w:bottom w:val="single" w:color="auto" w:sz="4" w:space="0"/>
                  </w:tcBorders>
                  <w:noWrap w:val="0"/>
                  <w:vAlign w:val="center"/>
                </w:tcPr>
                <w:p>
                  <w:pPr>
                    <w:spacing w:line="0" w:lineRule="atLeast"/>
                    <w:jc w:val="center"/>
                    <w:rPr>
                      <w:color w:val="auto"/>
                      <w:szCs w:val="21"/>
                    </w:rPr>
                  </w:pPr>
                  <w:r>
                    <w:rPr>
                      <w:rFonts w:hAnsi="宋体"/>
                      <w:color w:val="auto"/>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07" w:type="pct"/>
                  <w:tcBorders>
                    <w:top w:val="single" w:color="auto" w:sz="4" w:space="0"/>
                  </w:tcBorders>
                  <w:shd w:val="clear" w:color="auto" w:fill="auto"/>
                  <w:noWrap w:val="0"/>
                  <w:vAlign w:val="center"/>
                </w:tcPr>
                <w:p>
                  <w:pPr>
                    <w:jc w:val="center"/>
                    <w:rPr>
                      <w:color w:val="auto"/>
                      <w:szCs w:val="21"/>
                    </w:rPr>
                  </w:pPr>
                  <w:r>
                    <w:rPr>
                      <w:rFonts w:hAnsi="宋体"/>
                      <w:color w:val="auto"/>
                      <w:szCs w:val="21"/>
                    </w:rPr>
                    <w:t>主体工程</w:t>
                  </w:r>
                </w:p>
              </w:tc>
              <w:tc>
                <w:tcPr>
                  <w:tcW w:w="508" w:type="pct"/>
                  <w:shd w:val="clear" w:color="auto" w:fill="FFFFFF"/>
                  <w:noWrap w:val="0"/>
                  <w:vAlign w:val="center"/>
                </w:tcPr>
                <w:p>
                  <w:pPr>
                    <w:jc w:val="center"/>
                    <w:rPr>
                      <w:color w:val="auto"/>
                      <w:szCs w:val="21"/>
                    </w:rPr>
                  </w:pPr>
                  <w:r>
                    <w:rPr>
                      <w:rFonts w:hint="eastAsia" w:hAnsi="宋体"/>
                      <w:color w:val="auto"/>
                      <w:szCs w:val="21"/>
                    </w:rPr>
                    <w:t>锅炉房</w:t>
                  </w:r>
                </w:p>
              </w:tc>
              <w:tc>
                <w:tcPr>
                  <w:tcW w:w="3630" w:type="pct"/>
                  <w:shd w:val="clear" w:color="auto" w:fill="FFFFFF"/>
                  <w:noWrap w:val="0"/>
                  <w:vAlign w:val="center"/>
                </w:tcPr>
                <w:p>
                  <w:pPr>
                    <w:jc w:val="left"/>
                    <w:rPr>
                      <w:b/>
                      <w:color w:val="auto"/>
                      <w:szCs w:val="21"/>
                    </w:rPr>
                  </w:pPr>
                  <w:r>
                    <w:rPr>
                      <w:rFonts w:hint="eastAsia" w:hAnsi="宋体"/>
                      <w:color w:val="auto"/>
                      <w:szCs w:val="21"/>
                    </w:rPr>
                    <w:t>1栋，</w:t>
                  </w:r>
                  <w:r>
                    <w:rPr>
                      <w:rFonts w:hAnsi="宋体"/>
                      <w:color w:val="auto"/>
                      <w:szCs w:val="21"/>
                    </w:rPr>
                    <w:t>建筑面积为</w:t>
                  </w:r>
                  <w:r>
                    <w:rPr>
                      <w:rFonts w:hint="eastAsia"/>
                      <w:color w:val="auto"/>
                      <w:szCs w:val="21"/>
                    </w:rPr>
                    <w:t>260</w:t>
                  </w:r>
                  <w:r>
                    <w:rPr>
                      <w:color w:val="auto"/>
                      <w:szCs w:val="21"/>
                    </w:rPr>
                    <w:t>m</w:t>
                  </w:r>
                  <w:r>
                    <w:rPr>
                      <w:color w:val="auto"/>
                      <w:szCs w:val="21"/>
                      <w:vertAlign w:val="superscript"/>
                    </w:rPr>
                    <w:t>2</w:t>
                  </w:r>
                  <w:r>
                    <w:rPr>
                      <w:rFonts w:hAnsi="宋体"/>
                      <w:color w:val="auto"/>
                      <w:szCs w:val="21"/>
                    </w:rPr>
                    <w:t>，</w:t>
                  </w:r>
                  <w:r>
                    <w:rPr>
                      <w:rFonts w:hint="eastAsia" w:hAnsi="宋体"/>
                      <w:color w:val="auto"/>
                      <w:szCs w:val="21"/>
                    </w:rPr>
                    <w:t>新建</w:t>
                  </w:r>
                  <w:r>
                    <w:rPr>
                      <w:rFonts w:hint="eastAsia" w:hAnsi="宋体"/>
                      <w:bCs/>
                      <w:color w:val="auto"/>
                      <w:szCs w:val="21"/>
                    </w:rPr>
                    <w:t>1台7MW生物质热水锅炉</w:t>
                  </w:r>
                  <w:r>
                    <w:rPr>
                      <w:rFonts w:hAnsi="宋体"/>
                      <w:color w:val="auto"/>
                      <w:szCs w:val="21"/>
                    </w:rPr>
                    <w:t>，</w:t>
                  </w:r>
                  <w:r>
                    <w:rPr>
                      <w:rFonts w:hint="eastAsia"/>
                      <w:color w:val="auto"/>
                      <w:szCs w:val="21"/>
                    </w:rPr>
                    <w:t>燃烧生物质量为</w:t>
                  </w:r>
                  <w:r>
                    <w:rPr>
                      <w:rFonts w:hint="eastAsia"/>
                      <w:bCs/>
                      <w:color w:val="auto"/>
                      <w:szCs w:val="21"/>
                    </w:rPr>
                    <w:t>5515</w:t>
                  </w:r>
                  <w:r>
                    <w:rPr>
                      <w:rFonts w:hint="eastAsia"/>
                      <w:color w:val="auto"/>
                      <w:szCs w:val="21"/>
                    </w:rPr>
                    <w:t>t/a</w:t>
                  </w:r>
                  <w:r>
                    <w:rPr>
                      <w:b/>
                      <w:color w:val="auto"/>
                      <w:szCs w:val="21"/>
                    </w:rPr>
                    <w:t xml:space="preserve"> </w:t>
                  </w:r>
                </w:p>
              </w:tc>
              <w:tc>
                <w:tcPr>
                  <w:tcW w:w="455" w:type="pct"/>
                  <w:vMerge w:val="restart"/>
                  <w:tcBorders>
                    <w:top w:val="single" w:color="auto" w:sz="4" w:space="0"/>
                  </w:tcBorders>
                  <w:noWrap w:val="0"/>
                  <w:vAlign w:val="center"/>
                </w:tcPr>
                <w:p>
                  <w:pPr>
                    <w:spacing w:line="0" w:lineRule="atLeast"/>
                    <w:jc w:val="center"/>
                    <w:rPr>
                      <w:color w:val="auto"/>
                      <w:szCs w:val="21"/>
                    </w:rPr>
                  </w:pPr>
                  <w:r>
                    <w:rPr>
                      <w:rFonts w:hint="eastAsia"/>
                      <w:color w:val="auto"/>
                      <w:szCs w:val="21"/>
                    </w:rPr>
                    <w:t>已建成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07" w:type="pct"/>
                  <w:vMerge w:val="restart"/>
                  <w:tcBorders>
                    <w:top w:val="single" w:color="auto" w:sz="4" w:space="0"/>
                  </w:tcBorders>
                  <w:shd w:val="clear" w:color="auto" w:fill="auto"/>
                  <w:noWrap w:val="0"/>
                  <w:vAlign w:val="center"/>
                </w:tcPr>
                <w:p>
                  <w:pPr>
                    <w:jc w:val="center"/>
                    <w:rPr>
                      <w:rFonts w:hAnsi="宋体"/>
                      <w:color w:val="auto"/>
                      <w:szCs w:val="21"/>
                    </w:rPr>
                  </w:pPr>
                  <w:r>
                    <w:rPr>
                      <w:rFonts w:hint="eastAsia" w:hAnsi="宋体"/>
                      <w:color w:val="auto"/>
                      <w:szCs w:val="21"/>
                    </w:rPr>
                    <w:t>辅助工程</w:t>
                  </w:r>
                </w:p>
              </w:tc>
              <w:tc>
                <w:tcPr>
                  <w:tcW w:w="508" w:type="pct"/>
                  <w:shd w:val="clear" w:color="auto" w:fill="FFFFFF"/>
                  <w:noWrap w:val="0"/>
                  <w:vAlign w:val="center"/>
                </w:tcPr>
                <w:p>
                  <w:pPr>
                    <w:jc w:val="center"/>
                    <w:rPr>
                      <w:rFonts w:hAnsi="宋体"/>
                      <w:color w:val="auto"/>
                      <w:szCs w:val="21"/>
                    </w:rPr>
                  </w:pPr>
                  <w:r>
                    <w:rPr>
                      <w:rFonts w:hint="eastAsia" w:hAnsi="宋体"/>
                      <w:color w:val="auto"/>
                      <w:szCs w:val="21"/>
                    </w:rPr>
                    <w:t>水处理间</w:t>
                  </w:r>
                </w:p>
              </w:tc>
              <w:tc>
                <w:tcPr>
                  <w:tcW w:w="3630" w:type="pct"/>
                  <w:shd w:val="clear" w:color="auto" w:fill="FFFFFF"/>
                  <w:noWrap w:val="0"/>
                  <w:vAlign w:val="center"/>
                </w:tcPr>
                <w:p>
                  <w:pPr>
                    <w:jc w:val="left"/>
                    <w:rPr>
                      <w:rFonts w:hAnsi="宋体"/>
                      <w:color w:val="auto"/>
                      <w:szCs w:val="21"/>
                    </w:rPr>
                  </w:pPr>
                  <w:r>
                    <w:rPr>
                      <w:rFonts w:hint="eastAsia" w:hAnsi="宋体"/>
                      <w:color w:val="auto"/>
                      <w:szCs w:val="21"/>
                    </w:rPr>
                    <w:t>1栋，</w:t>
                  </w:r>
                  <w:r>
                    <w:rPr>
                      <w:rFonts w:hAnsi="宋体"/>
                      <w:color w:val="auto"/>
                      <w:szCs w:val="21"/>
                    </w:rPr>
                    <w:t>建筑面积为</w:t>
                  </w:r>
                  <w:r>
                    <w:rPr>
                      <w:rFonts w:hint="eastAsia"/>
                      <w:color w:val="auto"/>
                      <w:szCs w:val="21"/>
                    </w:rPr>
                    <w:t>60</w:t>
                  </w:r>
                  <w:r>
                    <w:rPr>
                      <w:color w:val="auto"/>
                      <w:szCs w:val="21"/>
                    </w:rPr>
                    <w:t>m</w:t>
                  </w:r>
                  <w:r>
                    <w:rPr>
                      <w:color w:val="auto"/>
                      <w:szCs w:val="21"/>
                      <w:vertAlign w:val="superscript"/>
                    </w:rPr>
                    <w:t>2</w:t>
                  </w:r>
                  <w:r>
                    <w:rPr>
                      <w:rFonts w:hAnsi="宋体"/>
                      <w:color w:val="auto"/>
                      <w:szCs w:val="21"/>
                    </w:rPr>
                    <w:t>，位于</w:t>
                  </w:r>
                  <w:r>
                    <w:rPr>
                      <w:rFonts w:hint="eastAsia" w:hAnsi="宋体"/>
                      <w:bCs/>
                      <w:color w:val="auto"/>
                      <w:szCs w:val="21"/>
                    </w:rPr>
                    <w:t>厂区西侧，</w:t>
                  </w:r>
                  <w:r>
                    <w:rPr>
                      <w:rFonts w:hAnsi="宋体"/>
                      <w:color w:val="auto"/>
                      <w:szCs w:val="21"/>
                    </w:rPr>
                    <w:t>内设</w:t>
                  </w:r>
                  <w:r>
                    <w:rPr>
                      <w:rFonts w:hint="eastAsia"/>
                      <w:color w:val="auto"/>
                      <w:szCs w:val="21"/>
                    </w:rPr>
                    <w:t>软化水制备装置，软化水制备工艺采用锰砂过滤</w:t>
                  </w:r>
                </w:p>
              </w:tc>
              <w:tc>
                <w:tcPr>
                  <w:tcW w:w="455" w:type="pct"/>
                  <w:vMerge w:val="continue"/>
                  <w:noWrap w:val="0"/>
                  <w:vAlign w:val="center"/>
                </w:tcPr>
                <w:p>
                  <w:pPr>
                    <w:spacing w:line="0" w:lineRule="atLeast"/>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07" w:type="pct"/>
                  <w:vMerge w:val="continue"/>
                  <w:tcBorders>
                    <w:top w:val="single" w:color="auto" w:sz="4" w:space="0"/>
                  </w:tcBorders>
                  <w:shd w:val="clear" w:color="auto" w:fill="auto"/>
                  <w:noWrap w:val="0"/>
                  <w:vAlign w:val="center"/>
                </w:tcPr>
                <w:p>
                  <w:pPr>
                    <w:jc w:val="center"/>
                    <w:rPr>
                      <w:rFonts w:hAnsi="宋体"/>
                      <w:color w:val="auto"/>
                      <w:szCs w:val="21"/>
                    </w:rPr>
                  </w:pPr>
                </w:p>
              </w:tc>
              <w:tc>
                <w:tcPr>
                  <w:tcW w:w="508" w:type="pct"/>
                  <w:shd w:val="clear" w:color="auto" w:fill="FFFFFF"/>
                  <w:noWrap w:val="0"/>
                  <w:vAlign w:val="center"/>
                </w:tcPr>
                <w:p>
                  <w:pPr>
                    <w:jc w:val="center"/>
                    <w:rPr>
                      <w:rFonts w:hAnsi="宋体"/>
                      <w:color w:val="auto"/>
                      <w:szCs w:val="21"/>
                    </w:rPr>
                  </w:pPr>
                  <w:r>
                    <w:rPr>
                      <w:rFonts w:hint="eastAsia" w:hAnsi="宋体"/>
                      <w:color w:val="auto"/>
                      <w:szCs w:val="21"/>
                    </w:rPr>
                    <w:t>操作间</w:t>
                  </w:r>
                </w:p>
              </w:tc>
              <w:tc>
                <w:tcPr>
                  <w:tcW w:w="3630" w:type="pct"/>
                  <w:shd w:val="clear" w:color="auto" w:fill="FFFFFF"/>
                  <w:noWrap w:val="0"/>
                  <w:vAlign w:val="center"/>
                </w:tcPr>
                <w:p>
                  <w:pPr>
                    <w:jc w:val="left"/>
                    <w:rPr>
                      <w:rFonts w:hAnsi="宋体"/>
                      <w:color w:val="auto"/>
                      <w:szCs w:val="21"/>
                    </w:rPr>
                  </w:pPr>
                  <w:r>
                    <w:rPr>
                      <w:rFonts w:hint="eastAsia" w:hAnsi="宋体"/>
                      <w:color w:val="auto"/>
                      <w:szCs w:val="21"/>
                    </w:rPr>
                    <w:t>1栋，</w:t>
                  </w:r>
                  <w:r>
                    <w:rPr>
                      <w:rFonts w:hAnsi="宋体"/>
                      <w:color w:val="auto"/>
                      <w:szCs w:val="21"/>
                    </w:rPr>
                    <w:t>建筑面积为</w:t>
                  </w:r>
                  <w:r>
                    <w:rPr>
                      <w:rFonts w:hint="eastAsia"/>
                      <w:color w:val="auto"/>
                      <w:szCs w:val="21"/>
                    </w:rPr>
                    <w:t>6</w:t>
                  </w:r>
                  <w:r>
                    <w:rPr>
                      <w:color w:val="auto"/>
                      <w:szCs w:val="21"/>
                    </w:rPr>
                    <w:t>m</w:t>
                  </w:r>
                  <w:r>
                    <w:rPr>
                      <w:color w:val="auto"/>
                      <w:szCs w:val="21"/>
                      <w:vertAlign w:val="superscript"/>
                    </w:rPr>
                    <w:t>2</w:t>
                  </w:r>
                  <w:r>
                    <w:rPr>
                      <w:rFonts w:hAnsi="宋体"/>
                      <w:color w:val="auto"/>
                      <w:szCs w:val="21"/>
                    </w:rPr>
                    <w:t>，位于</w:t>
                  </w:r>
                  <w:r>
                    <w:rPr>
                      <w:rFonts w:hint="eastAsia" w:hAnsi="宋体"/>
                      <w:bCs/>
                      <w:color w:val="auto"/>
                      <w:szCs w:val="21"/>
                    </w:rPr>
                    <w:t>锅炉房内东侧</w:t>
                  </w:r>
                </w:p>
              </w:tc>
              <w:tc>
                <w:tcPr>
                  <w:tcW w:w="455" w:type="pct"/>
                  <w:vMerge w:val="continue"/>
                  <w:noWrap w:val="0"/>
                  <w:vAlign w:val="center"/>
                </w:tcPr>
                <w:p>
                  <w:pPr>
                    <w:spacing w:line="0" w:lineRule="atLeast"/>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07" w:type="pct"/>
                  <w:vMerge w:val="continue"/>
                  <w:tcBorders>
                    <w:top w:val="single" w:color="auto" w:sz="4" w:space="0"/>
                  </w:tcBorders>
                  <w:shd w:val="clear" w:color="auto" w:fill="auto"/>
                  <w:noWrap w:val="0"/>
                  <w:vAlign w:val="center"/>
                </w:tcPr>
                <w:p>
                  <w:pPr>
                    <w:jc w:val="center"/>
                    <w:rPr>
                      <w:rFonts w:hAnsi="宋体"/>
                      <w:color w:val="auto"/>
                      <w:szCs w:val="21"/>
                    </w:rPr>
                  </w:pPr>
                </w:p>
              </w:tc>
              <w:tc>
                <w:tcPr>
                  <w:tcW w:w="508" w:type="pct"/>
                  <w:shd w:val="clear" w:color="auto" w:fill="FFFFFF"/>
                  <w:noWrap w:val="0"/>
                  <w:vAlign w:val="center"/>
                </w:tcPr>
                <w:p>
                  <w:pPr>
                    <w:jc w:val="center"/>
                    <w:rPr>
                      <w:rFonts w:hAnsi="宋体"/>
                      <w:color w:val="auto"/>
                      <w:szCs w:val="21"/>
                    </w:rPr>
                  </w:pPr>
                  <w:r>
                    <w:rPr>
                      <w:rFonts w:hAnsi="宋体"/>
                      <w:color w:val="auto"/>
                      <w:szCs w:val="21"/>
                    </w:rPr>
                    <w:t>换热器间</w:t>
                  </w:r>
                </w:p>
              </w:tc>
              <w:tc>
                <w:tcPr>
                  <w:tcW w:w="3630" w:type="pct"/>
                  <w:shd w:val="clear" w:color="auto" w:fill="FFFFFF"/>
                  <w:noWrap w:val="0"/>
                  <w:vAlign w:val="center"/>
                </w:tcPr>
                <w:p>
                  <w:pPr>
                    <w:jc w:val="left"/>
                    <w:rPr>
                      <w:rFonts w:hAnsi="宋体"/>
                      <w:color w:val="auto"/>
                      <w:szCs w:val="21"/>
                    </w:rPr>
                  </w:pPr>
                  <w:r>
                    <w:rPr>
                      <w:rFonts w:hint="eastAsia" w:hAnsi="宋体"/>
                      <w:color w:val="auto"/>
                      <w:szCs w:val="21"/>
                    </w:rPr>
                    <w:t>1栋，</w:t>
                  </w:r>
                  <w:r>
                    <w:rPr>
                      <w:rFonts w:hAnsi="宋体"/>
                      <w:color w:val="auto"/>
                      <w:szCs w:val="21"/>
                    </w:rPr>
                    <w:t>建筑面积为</w:t>
                  </w:r>
                  <w:r>
                    <w:rPr>
                      <w:rFonts w:hint="eastAsia"/>
                      <w:color w:val="auto"/>
                      <w:szCs w:val="21"/>
                    </w:rPr>
                    <w:t>60</w:t>
                  </w:r>
                  <w:r>
                    <w:rPr>
                      <w:color w:val="auto"/>
                      <w:szCs w:val="21"/>
                    </w:rPr>
                    <w:t>m</w:t>
                  </w:r>
                  <w:r>
                    <w:rPr>
                      <w:color w:val="auto"/>
                      <w:szCs w:val="21"/>
                      <w:vertAlign w:val="superscript"/>
                    </w:rPr>
                    <w:t>2</w:t>
                  </w:r>
                </w:p>
              </w:tc>
              <w:tc>
                <w:tcPr>
                  <w:tcW w:w="455" w:type="pct"/>
                  <w:vMerge w:val="continue"/>
                  <w:noWrap w:val="0"/>
                  <w:vAlign w:val="center"/>
                </w:tcPr>
                <w:p>
                  <w:pPr>
                    <w:spacing w:line="0" w:lineRule="atLeast"/>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07" w:type="pct"/>
                  <w:vMerge w:val="continue"/>
                  <w:tcBorders>
                    <w:top w:val="single" w:color="auto" w:sz="4" w:space="0"/>
                  </w:tcBorders>
                  <w:shd w:val="clear" w:color="auto" w:fill="auto"/>
                  <w:noWrap w:val="0"/>
                  <w:vAlign w:val="center"/>
                </w:tcPr>
                <w:p>
                  <w:pPr>
                    <w:jc w:val="center"/>
                    <w:rPr>
                      <w:rFonts w:hAnsi="宋体"/>
                      <w:color w:val="auto"/>
                      <w:szCs w:val="21"/>
                    </w:rPr>
                  </w:pPr>
                </w:p>
              </w:tc>
              <w:tc>
                <w:tcPr>
                  <w:tcW w:w="508" w:type="pct"/>
                  <w:shd w:val="clear" w:color="auto" w:fill="FFFFFF"/>
                  <w:noWrap w:val="0"/>
                  <w:vAlign w:val="center"/>
                </w:tcPr>
                <w:p>
                  <w:pPr>
                    <w:jc w:val="center"/>
                    <w:rPr>
                      <w:rFonts w:hAnsi="宋体"/>
                      <w:color w:val="auto"/>
                      <w:szCs w:val="21"/>
                    </w:rPr>
                  </w:pPr>
                  <w:r>
                    <w:rPr>
                      <w:rFonts w:hAnsi="宋体"/>
                      <w:color w:val="auto"/>
                      <w:szCs w:val="21"/>
                    </w:rPr>
                    <w:t>库房</w:t>
                  </w:r>
                </w:p>
              </w:tc>
              <w:tc>
                <w:tcPr>
                  <w:tcW w:w="3630" w:type="pct"/>
                  <w:shd w:val="clear" w:color="auto" w:fill="FFFFFF"/>
                  <w:noWrap w:val="0"/>
                  <w:vAlign w:val="center"/>
                </w:tcPr>
                <w:p>
                  <w:pPr>
                    <w:jc w:val="left"/>
                    <w:rPr>
                      <w:rFonts w:hAnsi="宋体"/>
                      <w:color w:val="auto"/>
                      <w:szCs w:val="21"/>
                    </w:rPr>
                  </w:pPr>
                  <w:r>
                    <w:rPr>
                      <w:rFonts w:hint="eastAsia" w:hAnsi="宋体"/>
                      <w:color w:val="auto"/>
                      <w:szCs w:val="21"/>
                    </w:rPr>
                    <w:t>1栋，</w:t>
                  </w:r>
                  <w:r>
                    <w:rPr>
                      <w:rFonts w:hAnsi="宋体"/>
                      <w:color w:val="auto"/>
                      <w:szCs w:val="21"/>
                    </w:rPr>
                    <w:t>建筑面积为</w:t>
                  </w:r>
                  <w:r>
                    <w:rPr>
                      <w:rFonts w:hint="eastAsia"/>
                      <w:color w:val="auto"/>
                      <w:szCs w:val="21"/>
                    </w:rPr>
                    <w:t>200</w:t>
                  </w:r>
                  <w:r>
                    <w:rPr>
                      <w:color w:val="auto"/>
                      <w:szCs w:val="21"/>
                    </w:rPr>
                    <w:t>m</w:t>
                  </w:r>
                  <w:r>
                    <w:rPr>
                      <w:color w:val="auto"/>
                      <w:szCs w:val="21"/>
                      <w:vertAlign w:val="superscript"/>
                    </w:rPr>
                    <w:t>2</w:t>
                  </w:r>
                  <w:r>
                    <w:rPr>
                      <w:rFonts w:hint="eastAsia"/>
                      <w:color w:val="auto"/>
                      <w:szCs w:val="21"/>
                    </w:rPr>
                    <w:t>，用于存放厂区杂物</w:t>
                  </w:r>
                </w:p>
              </w:tc>
              <w:tc>
                <w:tcPr>
                  <w:tcW w:w="455" w:type="pct"/>
                  <w:vMerge w:val="continue"/>
                  <w:noWrap w:val="0"/>
                  <w:vAlign w:val="center"/>
                </w:tcPr>
                <w:p>
                  <w:pPr>
                    <w:spacing w:line="0" w:lineRule="atLeast"/>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407" w:type="pct"/>
                  <w:vMerge w:val="continue"/>
                  <w:shd w:val="clear" w:color="auto" w:fill="auto"/>
                  <w:noWrap w:val="0"/>
                  <w:vAlign w:val="center"/>
                </w:tcPr>
                <w:p>
                  <w:pPr>
                    <w:jc w:val="center"/>
                    <w:rPr>
                      <w:rFonts w:hAnsi="宋体"/>
                      <w:color w:val="auto"/>
                      <w:szCs w:val="21"/>
                    </w:rPr>
                  </w:pPr>
                </w:p>
              </w:tc>
              <w:tc>
                <w:tcPr>
                  <w:tcW w:w="508" w:type="pct"/>
                  <w:shd w:val="clear" w:color="auto" w:fill="FFFFFF"/>
                  <w:noWrap w:val="0"/>
                  <w:vAlign w:val="center"/>
                </w:tcPr>
                <w:p>
                  <w:pPr>
                    <w:jc w:val="center"/>
                    <w:rPr>
                      <w:rFonts w:hAnsi="宋体"/>
                      <w:color w:val="auto"/>
                      <w:szCs w:val="21"/>
                    </w:rPr>
                  </w:pPr>
                  <w:r>
                    <w:rPr>
                      <w:rFonts w:hAnsi="宋体"/>
                      <w:color w:val="auto"/>
                      <w:szCs w:val="21"/>
                    </w:rPr>
                    <w:t>车库</w:t>
                  </w:r>
                </w:p>
              </w:tc>
              <w:tc>
                <w:tcPr>
                  <w:tcW w:w="3630" w:type="pct"/>
                  <w:shd w:val="clear" w:color="auto" w:fill="FFFFFF"/>
                  <w:noWrap w:val="0"/>
                  <w:vAlign w:val="center"/>
                </w:tcPr>
                <w:p>
                  <w:pPr>
                    <w:jc w:val="left"/>
                    <w:rPr>
                      <w:rFonts w:hAnsi="宋体"/>
                      <w:color w:val="auto"/>
                      <w:szCs w:val="21"/>
                    </w:rPr>
                  </w:pPr>
                  <w:r>
                    <w:rPr>
                      <w:rFonts w:hint="eastAsia" w:hAnsi="宋体"/>
                      <w:color w:val="auto"/>
                      <w:szCs w:val="21"/>
                    </w:rPr>
                    <w:t>1栋，</w:t>
                  </w:r>
                  <w:r>
                    <w:rPr>
                      <w:rFonts w:hAnsi="宋体"/>
                      <w:color w:val="auto"/>
                      <w:szCs w:val="21"/>
                    </w:rPr>
                    <w:t>建筑面积为</w:t>
                  </w:r>
                  <w:r>
                    <w:rPr>
                      <w:rFonts w:hint="eastAsia"/>
                      <w:color w:val="auto"/>
                      <w:szCs w:val="21"/>
                    </w:rPr>
                    <w:t>60</w:t>
                  </w:r>
                  <w:r>
                    <w:rPr>
                      <w:color w:val="auto"/>
                      <w:szCs w:val="21"/>
                    </w:rPr>
                    <w:t>m</w:t>
                  </w:r>
                  <w:r>
                    <w:rPr>
                      <w:color w:val="auto"/>
                      <w:szCs w:val="21"/>
                      <w:vertAlign w:val="superscript"/>
                    </w:rPr>
                    <w:t>2</w:t>
                  </w:r>
                  <w:r>
                    <w:rPr>
                      <w:rFonts w:hint="eastAsia"/>
                      <w:color w:val="auto"/>
                      <w:szCs w:val="21"/>
                    </w:rPr>
                    <w:t>，用于存放场区车辆</w:t>
                  </w:r>
                </w:p>
              </w:tc>
              <w:tc>
                <w:tcPr>
                  <w:tcW w:w="455" w:type="pct"/>
                  <w:vMerge w:val="continue"/>
                  <w:noWrap w:val="0"/>
                  <w:vAlign w:val="center"/>
                </w:tcPr>
                <w:p>
                  <w:pPr>
                    <w:spacing w:line="0" w:lineRule="atLeast"/>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407" w:type="pct"/>
                  <w:tcBorders>
                    <w:top w:val="single" w:color="auto" w:sz="4" w:space="0"/>
                  </w:tcBorders>
                  <w:shd w:val="clear" w:color="auto" w:fill="auto"/>
                  <w:noWrap w:val="0"/>
                  <w:vAlign w:val="center"/>
                </w:tcPr>
                <w:p>
                  <w:pPr>
                    <w:jc w:val="center"/>
                    <w:rPr>
                      <w:rFonts w:hAnsi="宋体"/>
                      <w:color w:val="auto"/>
                      <w:szCs w:val="21"/>
                    </w:rPr>
                  </w:pPr>
                  <w:r>
                    <w:rPr>
                      <w:rFonts w:hint="eastAsia" w:hAnsi="宋体"/>
                      <w:color w:val="auto"/>
                      <w:szCs w:val="21"/>
                    </w:rPr>
                    <w:t>储运工程</w:t>
                  </w:r>
                </w:p>
              </w:tc>
              <w:tc>
                <w:tcPr>
                  <w:tcW w:w="508" w:type="pct"/>
                  <w:shd w:val="clear" w:color="auto" w:fill="FFFFFF"/>
                  <w:noWrap w:val="0"/>
                  <w:vAlign w:val="center"/>
                </w:tcPr>
                <w:p>
                  <w:pPr>
                    <w:jc w:val="center"/>
                    <w:rPr>
                      <w:rFonts w:hAnsi="宋体"/>
                      <w:color w:val="auto"/>
                      <w:szCs w:val="21"/>
                    </w:rPr>
                  </w:pPr>
                  <w:r>
                    <w:rPr>
                      <w:rFonts w:hint="eastAsia" w:hAnsi="宋体"/>
                      <w:color w:val="auto"/>
                      <w:szCs w:val="21"/>
                    </w:rPr>
                    <w:t>燃料堆场</w:t>
                  </w:r>
                </w:p>
              </w:tc>
              <w:tc>
                <w:tcPr>
                  <w:tcW w:w="3630" w:type="pct"/>
                  <w:shd w:val="clear" w:color="auto" w:fill="FFFFFF"/>
                  <w:noWrap w:val="0"/>
                  <w:vAlign w:val="center"/>
                </w:tcPr>
                <w:p>
                  <w:pPr>
                    <w:jc w:val="left"/>
                    <w:rPr>
                      <w:rFonts w:hAnsi="宋体"/>
                      <w:color w:val="auto"/>
                      <w:szCs w:val="21"/>
                    </w:rPr>
                  </w:pPr>
                  <w:r>
                    <w:rPr>
                      <w:rFonts w:hint="eastAsia" w:hAnsi="宋体"/>
                      <w:color w:val="auto"/>
                      <w:szCs w:val="21"/>
                    </w:rPr>
                    <w:t>1栋，占地</w:t>
                  </w:r>
                  <w:r>
                    <w:rPr>
                      <w:rFonts w:hAnsi="宋体"/>
                      <w:color w:val="auto"/>
                      <w:szCs w:val="21"/>
                    </w:rPr>
                    <w:t>面积为</w:t>
                  </w:r>
                  <w:r>
                    <w:rPr>
                      <w:rFonts w:hint="eastAsia"/>
                      <w:color w:val="auto"/>
                      <w:szCs w:val="21"/>
                    </w:rPr>
                    <w:t>500</w:t>
                  </w:r>
                  <w:r>
                    <w:rPr>
                      <w:color w:val="auto"/>
                      <w:szCs w:val="21"/>
                    </w:rPr>
                    <w:t>m</w:t>
                  </w:r>
                  <w:r>
                    <w:rPr>
                      <w:color w:val="auto"/>
                      <w:szCs w:val="21"/>
                      <w:vertAlign w:val="superscript"/>
                    </w:rPr>
                    <w:t>2</w:t>
                  </w:r>
                  <w:r>
                    <w:rPr>
                      <w:rFonts w:hint="eastAsia"/>
                      <w:color w:val="auto"/>
                      <w:szCs w:val="21"/>
                    </w:rPr>
                    <w:t>，用于存储生物质燃料，最大存储能力为1500t，燃料堆场周边设置防风抑尘网，燃料采取苫盖，防风防雨</w:t>
                  </w:r>
                </w:p>
              </w:tc>
              <w:tc>
                <w:tcPr>
                  <w:tcW w:w="455" w:type="pct"/>
                  <w:vMerge w:val="continue"/>
                  <w:noWrap w:val="0"/>
                  <w:vAlign w:val="center"/>
                </w:tcPr>
                <w:p>
                  <w:pPr>
                    <w:spacing w:line="0" w:lineRule="atLeast"/>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407" w:type="pct"/>
                  <w:vMerge w:val="restart"/>
                  <w:noWrap w:val="0"/>
                  <w:vAlign w:val="center"/>
                </w:tcPr>
                <w:p>
                  <w:pPr>
                    <w:jc w:val="center"/>
                    <w:rPr>
                      <w:color w:val="auto"/>
                      <w:szCs w:val="21"/>
                    </w:rPr>
                  </w:pPr>
                  <w:r>
                    <w:rPr>
                      <w:rFonts w:hAnsi="宋体"/>
                      <w:color w:val="auto"/>
                      <w:szCs w:val="21"/>
                    </w:rPr>
                    <w:t>公用工程</w:t>
                  </w:r>
                </w:p>
              </w:tc>
              <w:tc>
                <w:tcPr>
                  <w:tcW w:w="508" w:type="pct"/>
                  <w:noWrap w:val="0"/>
                  <w:vAlign w:val="center"/>
                </w:tcPr>
                <w:p>
                  <w:pPr>
                    <w:jc w:val="center"/>
                    <w:rPr>
                      <w:color w:val="auto"/>
                      <w:szCs w:val="21"/>
                    </w:rPr>
                  </w:pPr>
                  <w:r>
                    <w:rPr>
                      <w:rFonts w:hAnsi="宋体"/>
                      <w:color w:val="auto"/>
                      <w:szCs w:val="21"/>
                    </w:rPr>
                    <w:t>供水</w:t>
                  </w:r>
                </w:p>
              </w:tc>
              <w:tc>
                <w:tcPr>
                  <w:tcW w:w="3630" w:type="pct"/>
                  <w:noWrap w:val="0"/>
                  <w:vAlign w:val="center"/>
                </w:tcPr>
                <w:p>
                  <w:pPr>
                    <w:jc w:val="left"/>
                    <w:rPr>
                      <w:color w:val="auto"/>
                      <w:szCs w:val="21"/>
                    </w:rPr>
                  </w:pPr>
                  <w:r>
                    <w:rPr>
                      <w:rFonts w:hAnsi="宋体"/>
                      <w:color w:val="auto"/>
                      <w:kern w:val="0"/>
                      <w:szCs w:val="21"/>
                      <w:lang w:val="zh-CN"/>
                    </w:rPr>
                    <w:t>本项目</w:t>
                  </w:r>
                  <w:r>
                    <w:rPr>
                      <w:rFonts w:hint="eastAsia" w:hAnsi="宋体"/>
                      <w:color w:val="auto"/>
                      <w:kern w:val="0"/>
                      <w:szCs w:val="21"/>
                      <w:lang w:val="zh-CN"/>
                    </w:rPr>
                    <w:t>供水</w:t>
                  </w:r>
                  <w:r>
                    <w:rPr>
                      <w:rFonts w:hAnsi="宋体"/>
                      <w:color w:val="auto"/>
                      <w:kern w:val="0"/>
                      <w:szCs w:val="21"/>
                      <w:lang w:val="zh-CN"/>
                    </w:rPr>
                    <w:t>由</w:t>
                  </w:r>
                  <w:r>
                    <w:rPr>
                      <w:rFonts w:hint="eastAsia" w:hAnsi="宋体"/>
                      <w:color w:val="auto"/>
                      <w:kern w:val="0"/>
                      <w:szCs w:val="21"/>
                    </w:rPr>
                    <w:t>市政自来水公司</w:t>
                  </w:r>
                  <w:r>
                    <w:rPr>
                      <w:rFonts w:hAnsi="宋体"/>
                      <w:color w:val="auto"/>
                      <w:kern w:val="0"/>
                      <w:szCs w:val="21"/>
                      <w:lang w:val="zh-CN"/>
                    </w:rPr>
                    <w:t>提供</w:t>
                  </w:r>
                </w:p>
              </w:tc>
              <w:tc>
                <w:tcPr>
                  <w:tcW w:w="455" w:type="pct"/>
                  <w:vMerge w:val="restart"/>
                  <w:noWrap w:val="0"/>
                  <w:vAlign w:val="center"/>
                </w:tcPr>
                <w:p>
                  <w:pPr>
                    <w:spacing w:line="0" w:lineRule="atLeast"/>
                    <w:jc w:val="center"/>
                    <w:rPr>
                      <w:color w:val="auto"/>
                      <w:szCs w:val="21"/>
                    </w:rPr>
                  </w:pPr>
                  <w:r>
                    <w:rPr>
                      <w:rFonts w:hint="eastAsia"/>
                      <w:color w:val="auto"/>
                      <w:szCs w:val="21"/>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407" w:type="pct"/>
                  <w:vMerge w:val="continue"/>
                  <w:shd w:val="clear" w:color="auto" w:fill="auto"/>
                  <w:noWrap w:val="0"/>
                  <w:vAlign w:val="center"/>
                </w:tcPr>
                <w:p>
                  <w:pPr>
                    <w:jc w:val="center"/>
                    <w:rPr>
                      <w:color w:val="auto"/>
                      <w:szCs w:val="21"/>
                    </w:rPr>
                  </w:pPr>
                </w:p>
              </w:tc>
              <w:tc>
                <w:tcPr>
                  <w:tcW w:w="508" w:type="pct"/>
                  <w:shd w:val="clear" w:color="auto" w:fill="FFFFFF"/>
                  <w:noWrap w:val="0"/>
                  <w:vAlign w:val="center"/>
                </w:tcPr>
                <w:p>
                  <w:pPr>
                    <w:jc w:val="center"/>
                    <w:rPr>
                      <w:color w:val="auto"/>
                      <w:szCs w:val="21"/>
                    </w:rPr>
                  </w:pPr>
                  <w:r>
                    <w:rPr>
                      <w:rFonts w:hAnsi="宋体"/>
                      <w:color w:val="auto"/>
                      <w:szCs w:val="21"/>
                    </w:rPr>
                    <w:t>排水</w:t>
                  </w:r>
                </w:p>
              </w:tc>
              <w:tc>
                <w:tcPr>
                  <w:tcW w:w="3630" w:type="pct"/>
                  <w:tcBorders>
                    <w:bottom w:val="single" w:color="auto" w:sz="4" w:space="0"/>
                  </w:tcBorders>
                  <w:shd w:val="clear" w:color="auto" w:fill="FFFFFF"/>
                  <w:noWrap w:val="0"/>
                  <w:vAlign w:val="center"/>
                </w:tcPr>
                <w:p>
                  <w:pPr>
                    <w:jc w:val="left"/>
                    <w:rPr>
                      <w:color w:val="auto"/>
                      <w:szCs w:val="21"/>
                    </w:rPr>
                  </w:pPr>
                  <w:r>
                    <w:rPr>
                      <w:rFonts w:hint="eastAsia" w:hAnsi="宋体"/>
                      <w:color w:val="auto"/>
                      <w:szCs w:val="21"/>
                    </w:rPr>
                    <w:t>本项目生活污水依托附近公用防渗旱厕，定期清掏，外运堆肥，不外排；软化处理废水及锅炉排污水</w:t>
                  </w:r>
                  <w:r>
                    <w:rPr>
                      <w:rFonts w:hint="eastAsia" w:hAnsi="宋体"/>
                      <w:bCs/>
                      <w:color w:val="auto"/>
                      <w:szCs w:val="21"/>
                    </w:rPr>
                    <w:t>用于湿式除渣及锅炉房洒水抑尘，不外排</w:t>
                  </w:r>
                </w:p>
              </w:tc>
              <w:tc>
                <w:tcPr>
                  <w:tcW w:w="455" w:type="pct"/>
                  <w:vMerge w:val="continue"/>
                  <w:tcBorders>
                    <w:bottom w:val="single" w:color="auto" w:sz="4" w:space="0"/>
                  </w:tcBorders>
                  <w:noWrap w:val="0"/>
                  <w:vAlign w:val="center"/>
                </w:tcPr>
                <w:p>
                  <w:pPr>
                    <w:spacing w:line="0" w:lineRule="atLeast"/>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407" w:type="pct"/>
                  <w:vMerge w:val="continue"/>
                  <w:shd w:val="clear" w:color="auto" w:fill="auto"/>
                  <w:noWrap w:val="0"/>
                  <w:vAlign w:val="center"/>
                </w:tcPr>
                <w:p>
                  <w:pPr>
                    <w:jc w:val="center"/>
                    <w:rPr>
                      <w:color w:val="auto"/>
                      <w:szCs w:val="21"/>
                    </w:rPr>
                  </w:pPr>
                </w:p>
              </w:tc>
              <w:tc>
                <w:tcPr>
                  <w:tcW w:w="508" w:type="pct"/>
                  <w:shd w:val="clear" w:color="auto" w:fill="FFFFFF"/>
                  <w:noWrap w:val="0"/>
                  <w:vAlign w:val="center"/>
                </w:tcPr>
                <w:p>
                  <w:pPr>
                    <w:jc w:val="center"/>
                    <w:rPr>
                      <w:color w:val="auto"/>
                      <w:szCs w:val="21"/>
                    </w:rPr>
                  </w:pPr>
                  <w:r>
                    <w:rPr>
                      <w:rFonts w:hAnsi="宋体"/>
                      <w:color w:val="auto"/>
                      <w:szCs w:val="21"/>
                    </w:rPr>
                    <w:t>供热</w:t>
                  </w:r>
                </w:p>
              </w:tc>
              <w:tc>
                <w:tcPr>
                  <w:tcW w:w="3630" w:type="pct"/>
                  <w:tcBorders>
                    <w:top w:val="single" w:color="auto" w:sz="4" w:space="0"/>
                    <w:bottom w:val="single" w:color="auto" w:sz="4" w:space="0"/>
                  </w:tcBorders>
                  <w:shd w:val="clear" w:color="auto" w:fill="FFFFFF"/>
                  <w:noWrap w:val="0"/>
                  <w:vAlign w:val="center"/>
                </w:tcPr>
                <w:p>
                  <w:pPr>
                    <w:jc w:val="left"/>
                    <w:rPr>
                      <w:color w:val="auto"/>
                      <w:szCs w:val="21"/>
                    </w:rPr>
                  </w:pPr>
                  <w:r>
                    <w:rPr>
                      <w:rFonts w:hAnsi="宋体"/>
                      <w:color w:val="auto"/>
                      <w:szCs w:val="21"/>
                    </w:rPr>
                    <w:t>由本项目</w:t>
                  </w:r>
                  <w:r>
                    <w:rPr>
                      <w:rFonts w:hint="eastAsia" w:hAnsi="宋体"/>
                      <w:bCs/>
                      <w:color w:val="auto"/>
                      <w:szCs w:val="21"/>
                    </w:rPr>
                    <w:t>1台7MW生物质热水锅炉</w:t>
                  </w:r>
                  <w:r>
                    <w:rPr>
                      <w:rFonts w:hint="eastAsia" w:hAnsi="宋体"/>
                      <w:color w:val="auto"/>
                    </w:rPr>
                    <w:t>供热</w:t>
                  </w:r>
                </w:p>
              </w:tc>
              <w:tc>
                <w:tcPr>
                  <w:tcW w:w="455" w:type="pct"/>
                  <w:tcBorders>
                    <w:top w:val="single" w:color="auto" w:sz="4" w:space="0"/>
                    <w:bottom w:val="single" w:color="auto" w:sz="4" w:space="0"/>
                  </w:tcBorders>
                  <w:noWrap w:val="0"/>
                  <w:vAlign w:val="center"/>
                </w:tcPr>
                <w:p>
                  <w:pPr>
                    <w:spacing w:line="0" w:lineRule="atLeast"/>
                    <w:jc w:val="center"/>
                    <w:rPr>
                      <w:color w:val="auto"/>
                      <w:szCs w:val="21"/>
                    </w:rPr>
                  </w:pPr>
                  <w:r>
                    <w:rPr>
                      <w:rFonts w:hint="eastAsia"/>
                      <w:color w:val="auto"/>
                      <w:szCs w:val="21"/>
                    </w:rPr>
                    <w:t>已建成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407" w:type="pct"/>
                  <w:vMerge w:val="continue"/>
                  <w:shd w:val="clear" w:color="auto" w:fill="auto"/>
                  <w:noWrap w:val="0"/>
                  <w:vAlign w:val="center"/>
                </w:tcPr>
                <w:p>
                  <w:pPr>
                    <w:jc w:val="center"/>
                    <w:rPr>
                      <w:color w:val="auto"/>
                      <w:szCs w:val="21"/>
                    </w:rPr>
                  </w:pPr>
                </w:p>
              </w:tc>
              <w:tc>
                <w:tcPr>
                  <w:tcW w:w="508" w:type="pct"/>
                  <w:shd w:val="clear" w:color="auto" w:fill="FFFFFF"/>
                  <w:noWrap w:val="0"/>
                  <w:vAlign w:val="center"/>
                </w:tcPr>
                <w:p>
                  <w:pPr>
                    <w:jc w:val="center"/>
                    <w:rPr>
                      <w:color w:val="auto"/>
                      <w:szCs w:val="21"/>
                    </w:rPr>
                  </w:pPr>
                  <w:r>
                    <w:rPr>
                      <w:rFonts w:hAnsi="宋体"/>
                      <w:color w:val="auto"/>
                      <w:szCs w:val="21"/>
                    </w:rPr>
                    <w:t>供电</w:t>
                  </w:r>
                </w:p>
              </w:tc>
              <w:tc>
                <w:tcPr>
                  <w:tcW w:w="3630" w:type="pct"/>
                  <w:tcBorders>
                    <w:top w:val="single" w:color="auto" w:sz="4" w:space="0"/>
                    <w:bottom w:val="single" w:color="auto" w:sz="4" w:space="0"/>
                  </w:tcBorders>
                  <w:shd w:val="clear" w:color="auto" w:fill="FFFFFF"/>
                  <w:noWrap w:val="0"/>
                  <w:vAlign w:val="center"/>
                </w:tcPr>
                <w:p>
                  <w:pPr>
                    <w:jc w:val="left"/>
                    <w:rPr>
                      <w:color w:val="auto"/>
                      <w:szCs w:val="21"/>
                    </w:rPr>
                  </w:pPr>
                  <w:r>
                    <w:rPr>
                      <w:rFonts w:hAnsi="宋体"/>
                      <w:color w:val="auto"/>
                      <w:szCs w:val="21"/>
                    </w:rPr>
                    <w:t>由</w:t>
                  </w:r>
                  <w:r>
                    <w:rPr>
                      <w:rFonts w:hint="eastAsia" w:hAnsi="宋体"/>
                      <w:color w:val="auto"/>
                      <w:szCs w:val="21"/>
                    </w:rPr>
                    <w:t>厂区</w:t>
                  </w:r>
                  <w:r>
                    <w:rPr>
                      <w:rFonts w:hAnsi="宋体"/>
                      <w:color w:val="auto"/>
                      <w:szCs w:val="21"/>
                    </w:rPr>
                    <w:t>变压器提供</w:t>
                  </w:r>
                </w:p>
              </w:tc>
              <w:tc>
                <w:tcPr>
                  <w:tcW w:w="455" w:type="pct"/>
                  <w:tcBorders>
                    <w:top w:val="single" w:color="auto" w:sz="4" w:space="0"/>
                    <w:bottom w:val="single" w:color="auto" w:sz="4" w:space="0"/>
                  </w:tcBorders>
                  <w:noWrap w:val="0"/>
                  <w:vAlign w:val="center"/>
                </w:tcPr>
                <w:p>
                  <w:pPr>
                    <w:spacing w:line="0" w:lineRule="atLeast"/>
                    <w:jc w:val="center"/>
                    <w:rPr>
                      <w:color w:val="auto"/>
                      <w:szCs w:val="21"/>
                    </w:rPr>
                  </w:pPr>
                  <w:r>
                    <w:rPr>
                      <w:rFonts w:hint="eastAsia"/>
                      <w:color w:val="auto"/>
                      <w:szCs w:val="21"/>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407" w:type="pct"/>
                  <w:vMerge w:val="restart"/>
                  <w:shd w:val="clear" w:color="auto" w:fill="auto"/>
                  <w:noWrap w:val="0"/>
                  <w:vAlign w:val="center"/>
                </w:tcPr>
                <w:p>
                  <w:pPr>
                    <w:jc w:val="center"/>
                    <w:rPr>
                      <w:color w:val="auto"/>
                      <w:szCs w:val="21"/>
                    </w:rPr>
                  </w:pPr>
                  <w:r>
                    <w:rPr>
                      <w:rFonts w:hAnsi="宋体"/>
                      <w:color w:val="auto"/>
                      <w:szCs w:val="21"/>
                    </w:rPr>
                    <w:t>环保工程</w:t>
                  </w:r>
                </w:p>
              </w:tc>
              <w:tc>
                <w:tcPr>
                  <w:tcW w:w="508" w:type="pct"/>
                  <w:shd w:val="clear" w:color="auto" w:fill="FFFFFF"/>
                  <w:noWrap w:val="0"/>
                  <w:vAlign w:val="center"/>
                </w:tcPr>
                <w:p>
                  <w:pPr>
                    <w:jc w:val="center"/>
                    <w:rPr>
                      <w:color w:val="auto"/>
                      <w:szCs w:val="21"/>
                    </w:rPr>
                  </w:pPr>
                  <w:r>
                    <w:rPr>
                      <w:rFonts w:hAnsi="宋体"/>
                      <w:color w:val="auto"/>
                      <w:szCs w:val="21"/>
                    </w:rPr>
                    <w:t>废气</w:t>
                  </w:r>
                </w:p>
              </w:tc>
              <w:tc>
                <w:tcPr>
                  <w:tcW w:w="3630" w:type="pct"/>
                  <w:tcBorders>
                    <w:top w:val="single" w:color="auto" w:sz="4" w:space="0"/>
                  </w:tcBorders>
                  <w:shd w:val="clear" w:color="auto" w:fill="FFFFFF"/>
                  <w:noWrap w:val="0"/>
                  <w:vAlign w:val="center"/>
                </w:tcPr>
                <w:p>
                  <w:pPr>
                    <w:jc w:val="left"/>
                    <w:rPr>
                      <w:color w:val="auto"/>
                      <w:szCs w:val="21"/>
                    </w:rPr>
                  </w:pPr>
                  <w:r>
                    <w:rPr>
                      <w:rFonts w:hint="eastAsia"/>
                      <w:bCs/>
                      <w:color w:val="auto"/>
                      <w:szCs w:val="21"/>
                    </w:rPr>
                    <w:t>锅炉采用低氮燃烧技术</w:t>
                  </w:r>
                  <w:r>
                    <w:rPr>
                      <w:rFonts w:hint="eastAsia"/>
                      <w:color w:val="auto"/>
                      <w:szCs w:val="21"/>
                    </w:rPr>
                    <w:t>（脱硝效率为30%）</w:t>
                  </w:r>
                  <w:r>
                    <w:rPr>
                      <w:rFonts w:hint="eastAsia"/>
                      <w:bCs/>
                      <w:color w:val="auto"/>
                      <w:szCs w:val="21"/>
                    </w:rPr>
                    <w:t>，生物质锅炉烟气经陶瓷多管+布袋除尘器（除尘效率为99.6%）处理后由1根40米高烟囱排放</w:t>
                  </w:r>
                  <w:r>
                    <w:rPr>
                      <w:rFonts w:hint="eastAsia"/>
                      <w:color w:val="auto"/>
                      <w:szCs w:val="21"/>
                    </w:rPr>
                    <w:t>；</w:t>
                  </w:r>
                  <w:r>
                    <w:rPr>
                      <w:rFonts w:hint="eastAsia"/>
                      <w:bCs/>
                      <w:color w:val="auto"/>
                      <w:szCs w:val="21"/>
                    </w:rPr>
                    <w:t>灰渣采用湿式除渣，存放于运输车内，采用苫布苫盖，及时清运，不长期储存；</w:t>
                  </w:r>
                  <w:r>
                    <w:rPr>
                      <w:rFonts w:ascii="宋体" w:hAnsi="宋体" w:cs="宋体"/>
                      <w:color w:val="auto"/>
                      <w:szCs w:val="21"/>
                    </w:rPr>
                    <w:t>秸秆堆垛过程中会产生少量的粉尘，</w:t>
                  </w:r>
                  <w:r>
                    <w:rPr>
                      <w:rFonts w:hint="eastAsia"/>
                      <w:color w:val="auto"/>
                      <w:szCs w:val="21"/>
                    </w:rPr>
                    <w:t>燃料堆场周边设置防风抑尘网，</w:t>
                  </w:r>
                  <w:r>
                    <w:rPr>
                      <w:rFonts w:ascii="宋体" w:hAnsi="宋体" w:cs="宋体"/>
                      <w:color w:val="auto"/>
                      <w:szCs w:val="21"/>
                    </w:rPr>
                    <w:t>采用苫布苫盖，</w:t>
                  </w:r>
                  <w:r>
                    <w:rPr>
                      <w:rFonts w:hint="eastAsia"/>
                      <w:bCs/>
                      <w:color w:val="auto"/>
                      <w:szCs w:val="21"/>
                    </w:rPr>
                    <w:t>粉尘以无组织形式在厂区排放</w:t>
                  </w:r>
                </w:p>
              </w:tc>
              <w:tc>
                <w:tcPr>
                  <w:tcW w:w="455" w:type="pct"/>
                  <w:vMerge w:val="restart"/>
                  <w:tcBorders>
                    <w:top w:val="single" w:color="auto" w:sz="4" w:space="0"/>
                  </w:tcBorders>
                  <w:noWrap w:val="0"/>
                  <w:vAlign w:val="center"/>
                </w:tcPr>
                <w:p>
                  <w:pPr>
                    <w:jc w:val="center"/>
                    <w:rPr>
                      <w:color w:val="auto"/>
                      <w:szCs w:val="21"/>
                    </w:rPr>
                  </w:pPr>
                  <w:r>
                    <w:rPr>
                      <w:rFonts w:hint="eastAsia"/>
                      <w:color w:val="auto"/>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407" w:type="pct"/>
                  <w:vMerge w:val="continue"/>
                  <w:shd w:val="clear" w:color="auto" w:fill="auto"/>
                  <w:noWrap w:val="0"/>
                  <w:vAlign w:val="center"/>
                </w:tcPr>
                <w:p>
                  <w:pPr>
                    <w:jc w:val="center"/>
                    <w:rPr>
                      <w:color w:val="auto"/>
                      <w:szCs w:val="21"/>
                    </w:rPr>
                  </w:pPr>
                </w:p>
              </w:tc>
              <w:tc>
                <w:tcPr>
                  <w:tcW w:w="508" w:type="pct"/>
                  <w:shd w:val="clear" w:color="auto" w:fill="FFFFFF"/>
                  <w:noWrap w:val="0"/>
                  <w:vAlign w:val="center"/>
                </w:tcPr>
                <w:p>
                  <w:pPr>
                    <w:jc w:val="center"/>
                    <w:rPr>
                      <w:color w:val="auto"/>
                      <w:szCs w:val="21"/>
                    </w:rPr>
                  </w:pPr>
                  <w:r>
                    <w:rPr>
                      <w:rFonts w:hAnsi="宋体"/>
                      <w:color w:val="auto"/>
                      <w:szCs w:val="21"/>
                    </w:rPr>
                    <w:t>噪声</w:t>
                  </w:r>
                </w:p>
              </w:tc>
              <w:tc>
                <w:tcPr>
                  <w:tcW w:w="3630" w:type="pct"/>
                  <w:shd w:val="clear" w:color="auto" w:fill="FFFFFF"/>
                  <w:noWrap w:val="0"/>
                  <w:vAlign w:val="center"/>
                </w:tcPr>
                <w:p>
                  <w:pPr>
                    <w:jc w:val="left"/>
                    <w:rPr>
                      <w:color w:val="auto"/>
                      <w:szCs w:val="21"/>
                    </w:rPr>
                  </w:pPr>
                  <w:r>
                    <w:rPr>
                      <w:rFonts w:hAnsi="宋体"/>
                      <w:color w:val="auto"/>
                      <w:szCs w:val="21"/>
                    </w:rPr>
                    <w:t>采用低噪声设备、厂房隔声、基础减振措施</w:t>
                  </w:r>
                </w:p>
              </w:tc>
              <w:tc>
                <w:tcPr>
                  <w:tcW w:w="455" w:type="pct"/>
                  <w:vMerge w:val="continue"/>
                  <w:noWrap w:val="0"/>
                  <w:vAlign w:val="center"/>
                </w:tcPr>
                <w:p>
                  <w:pPr>
                    <w:spacing w:line="0" w:lineRule="atLeast"/>
                    <w:jc w:val="center"/>
                    <w:rPr>
                      <w:color w:val="auto"/>
                      <w:szCs w:val="21"/>
                    </w:rPr>
                  </w:pPr>
                </w:p>
              </w:tc>
            </w:tr>
          </w:tbl>
          <w:p>
            <w:pPr>
              <w:pStyle w:val="34"/>
              <w:spacing w:beforeLines="0" w:afterLines="0" w:line="360" w:lineRule="auto"/>
              <w:ind w:firstLine="0" w:firstLineChars="0"/>
              <w:contextualSpacing/>
              <w:jc w:val="center"/>
              <w:textAlignment w:val="baseline"/>
              <w:rPr>
                <w:rFonts w:hint="eastAsia"/>
                <w:b/>
                <w:color w:val="auto"/>
                <w:lang w:val="en-US" w:eastAsia="zh-CN"/>
              </w:rPr>
            </w:pPr>
          </w:p>
          <w:p>
            <w:pPr>
              <w:pStyle w:val="34"/>
              <w:spacing w:beforeLines="0" w:afterLines="0" w:line="360" w:lineRule="auto"/>
              <w:ind w:firstLine="0" w:firstLineChars="0"/>
              <w:contextualSpacing/>
              <w:jc w:val="center"/>
              <w:textAlignment w:val="baseline"/>
              <w:rPr>
                <w:rFonts w:hint="eastAsia"/>
                <w:b/>
                <w:color w:val="auto"/>
                <w:lang w:val="en-US" w:eastAsia="zh-CN"/>
              </w:rPr>
            </w:pPr>
          </w:p>
          <w:p>
            <w:pPr>
              <w:pStyle w:val="34"/>
              <w:spacing w:beforeLines="0" w:afterLines="0" w:line="360" w:lineRule="auto"/>
              <w:ind w:firstLine="0" w:firstLineChars="0"/>
              <w:contextualSpacing/>
              <w:jc w:val="center"/>
              <w:textAlignment w:val="baseline"/>
              <w:rPr>
                <w:b/>
                <w:color w:val="auto"/>
                <w:lang w:val="en-US" w:eastAsia="zh-CN"/>
              </w:rPr>
            </w:pPr>
            <w:r>
              <w:rPr>
                <w:b/>
                <w:color w:val="auto"/>
                <w:lang w:val="en-US" w:eastAsia="zh-CN"/>
              </w:rPr>
              <w:t>续表</w:t>
            </w:r>
            <w:r>
              <w:rPr>
                <w:rFonts w:hint="eastAsia"/>
                <w:b/>
                <w:color w:val="auto"/>
                <w:lang w:val="en-US" w:eastAsia="zh-CN"/>
              </w:rPr>
              <w:t xml:space="preserve">2-1 </w:t>
            </w:r>
            <w:r>
              <w:rPr>
                <w:b/>
                <w:color w:val="auto"/>
                <w:lang w:val="en-US" w:eastAsia="zh-CN"/>
              </w:rPr>
              <w:t>项目工程组成一览表</w:t>
            </w:r>
          </w:p>
          <w:tbl>
            <w:tblPr>
              <w:tblStyle w:val="15"/>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2"/>
              <w:gridCol w:w="826"/>
              <w:gridCol w:w="5904"/>
              <w:gridCol w:w="74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407" w:type="pct"/>
                  <w:vMerge w:val="restart"/>
                  <w:shd w:val="clear" w:color="auto" w:fill="auto"/>
                  <w:noWrap w:val="0"/>
                  <w:vAlign w:val="center"/>
                </w:tcPr>
                <w:p>
                  <w:pPr>
                    <w:jc w:val="center"/>
                    <w:rPr>
                      <w:color w:val="auto"/>
                      <w:szCs w:val="21"/>
                    </w:rPr>
                  </w:pPr>
                  <w:r>
                    <w:rPr>
                      <w:rFonts w:hAnsi="宋体"/>
                      <w:color w:val="auto"/>
                      <w:szCs w:val="21"/>
                    </w:rPr>
                    <w:t>环保工程</w:t>
                  </w:r>
                </w:p>
              </w:tc>
              <w:tc>
                <w:tcPr>
                  <w:tcW w:w="508" w:type="pct"/>
                  <w:shd w:val="clear" w:color="auto" w:fill="FFFFFF"/>
                  <w:noWrap w:val="0"/>
                  <w:vAlign w:val="center"/>
                </w:tcPr>
                <w:p>
                  <w:pPr>
                    <w:jc w:val="center"/>
                    <w:rPr>
                      <w:color w:val="auto"/>
                      <w:szCs w:val="21"/>
                    </w:rPr>
                  </w:pPr>
                  <w:r>
                    <w:rPr>
                      <w:rFonts w:hAnsi="宋体"/>
                      <w:color w:val="auto"/>
                      <w:szCs w:val="21"/>
                    </w:rPr>
                    <w:t>废水</w:t>
                  </w:r>
                </w:p>
              </w:tc>
              <w:tc>
                <w:tcPr>
                  <w:tcW w:w="3630" w:type="pct"/>
                  <w:shd w:val="clear" w:color="auto" w:fill="FFFFFF"/>
                  <w:noWrap w:val="0"/>
                  <w:vAlign w:val="center"/>
                </w:tcPr>
                <w:p>
                  <w:pPr>
                    <w:jc w:val="left"/>
                    <w:rPr>
                      <w:color w:val="auto"/>
                      <w:szCs w:val="21"/>
                    </w:rPr>
                  </w:pPr>
                  <w:r>
                    <w:rPr>
                      <w:rFonts w:hint="eastAsia" w:hAnsi="宋体"/>
                      <w:color w:val="auto"/>
                      <w:szCs w:val="21"/>
                    </w:rPr>
                    <w:t>本项目生活污水依托附近公用防渗旱厕，定期清掏，外运堆肥，不外排；软化处理废水及锅炉排污水</w:t>
                  </w:r>
                  <w:r>
                    <w:rPr>
                      <w:rFonts w:hint="eastAsia" w:hAnsi="宋体"/>
                      <w:bCs/>
                      <w:color w:val="auto"/>
                      <w:szCs w:val="21"/>
                    </w:rPr>
                    <w:t>用于湿式除渣及锅炉房洒水抑尘，不外排</w:t>
                  </w:r>
                </w:p>
              </w:tc>
              <w:tc>
                <w:tcPr>
                  <w:tcW w:w="455" w:type="pct"/>
                  <w:vMerge w:val="restart"/>
                  <w:noWrap w:val="0"/>
                  <w:vAlign w:val="center"/>
                </w:tcPr>
                <w:p>
                  <w:pPr>
                    <w:spacing w:line="0" w:lineRule="atLeast"/>
                    <w:jc w:val="center"/>
                    <w:rPr>
                      <w:color w:val="auto"/>
                      <w:szCs w:val="21"/>
                    </w:rPr>
                  </w:pPr>
                  <w:r>
                    <w:rPr>
                      <w:color w:val="auto"/>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407" w:type="pct"/>
                  <w:vMerge w:val="continue"/>
                  <w:shd w:val="clear" w:color="auto" w:fill="auto"/>
                  <w:noWrap w:val="0"/>
                  <w:vAlign w:val="center"/>
                </w:tcPr>
                <w:p>
                  <w:pPr>
                    <w:jc w:val="center"/>
                    <w:rPr>
                      <w:color w:val="auto"/>
                      <w:szCs w:val="21"/>
                    </w:rPr>
                  </w:pPr>
                </w:p>
              </w:tc>
              <w:tc>
                <w:tcPr>
                  <w:tcW w:w="508" w:type="pct"/>
                  <w:shd w:val="clear" w:color="auto" w:fill="FFFFFF"/>
                  <w:noWrap w:val="0"/>
                  <w:vAlign w:val="center"/>
                </w:tcPr>
                <w:p>
                  <w:pPr>
                    <w:jc w:val="center"/>
                    <w:rPr>
                      <w:rFonts w:hAnsi="宋体"/>
                      <w:color w:val="auto"/>
                      <w:szCs w:val="21"/>
                    </w:rPr>
                  </w:pPr>
                  <w:r>
                    <w:rPr>
                      <w:rFonts w:hAnsi="宋体"/>
                      <w:color w:val="auto"/>
                      <w:szCs w:val="21"/>
                    </w:rPr>
                    <w:t>固体</w:t>
                  </w:r>
                </w:p>
                <w:p>
                  <w:pPr>
                    <w:jc w:val="center"/>
                    <w:rPr>
                      <w:color w:val="auto"/>
                      <w:szCs w:val="21"/>
                    </w:rPr>
                  </w:pPr>
                  <w:r>
                    <w:rPr>
                      <w:rFonts w:hAnsi="宋体"/>
                      <w:color w:val="auto"/>
                      <w:szCs w:val="21"/>
                    </w:rPr>
                    <w:t>废物</w:t>
                  </w:r>
                </w:p>
              </w:tc>
              <w:tc>
                <w:tcPr>
                  <w:tcW w:w="3630" w:type="pct"/>
                  <w:shd w:val="clear" w:color="auto" w:fill="FFFFFF"/>
                  <w:noWrap w:val="0"/>
                  <w:vAlign w:val="center"/>
                </w:tcPr>
                <w:p>
                  <w:pPr>
                    <w:jc w:val="left"/>
                    <w:rPr>
                      <w:color w:val="auto"/>
                      <w:szCs w:val="21"/>
                    </w:rPr>
                  </w:pPr>
                  <w:r>
                    <w:rPr>
                      <w:rFonts w:hint="eastAsia"/>
                      <w:bCs/>
                      <w:color w:val="auto"/>
                      <w:szCs w:val="21"/>
                    </w:rPr>
                    <w:t>湿式除渣后的灰渣和布袋除尘器收集的除尘灰存放于运输车内，采用苫布苫盖，及时清运，</w:t>
                  </w:r>
                  <w:r>
                    <w:rPr>
                      <w:color w:val="auto"/>
                    </w:rPr>
                    <w:t>外售用于生产有机肥</w:t>
                  </w:r>
                  <w:r>
                    <w:rPr>
                      <w:rFonts w:hint="eastAsia"/>
                      <w:color w:val="auto"/>
                    </w:rPr>
                    <w:t>；</w:t>
                  </w:r>
                  <w:r>
                    <w:rPr>
                      <w:rFonts w:hint="eastAsia"/>
                      <w:color w:val="auto"/>
                      <w:szCs w:val="21"/>
                    </w:rPr>
                    <w:t>废</w:t>
                  </w:r>
                  <w:r>
                    <w:rPr>
                      <w:color w:val="auto"/>
                      <w:szCs w:val="21"/>
                    </w:rPr>
                    <w:t>锰砂废料</w:t>
                  </w:r>
                  <w:r>
                    <w:rPr>
                      <w:rFonts w:hint="eastAsia"/>
                      <w:color w:val="auto"/>
                      <w:szCs w:val="21"/>
                    </w:rPr>
                    <w:t>、</w:t>
                  </w:r>
                  <w:r>
                    <w:rPr>
                      <w:color w:val="auto"/>
                      <w:szCs w:val="21"/>
                    </w:rPr>
                    <w:t>废布袋由市政部门统一处理</w:t>
                  </w:r>
                </w:p>
              </w:tc>
              <w:tc>
                <w:tcPr>
                  <w:tcW w:w="455" w:type="pct"/>
                  <w:vMerge w:val="continue"/>
                  <w:noWrap w:val="0"/>
                  <w:vAlign w:val="center"/>
                </w:tcPr>
                <w:p>
                  <w:pPr>
                    <w:spacing w:line="0" w:lineRule="atLeast"/>
                    <w:jc w:val="center"/>
                    <w:rPr>
                      <w:color w:val="auto"/>
                      <w:szCs w:val="21"/>
                    </w:rPr>
                  </w:pPr>
                </w:p>
              </w:tc>
            </w:tr>
          </w:tbl>
          <w:p>
            <w:pPr>
              <w:spacing w:line="360" w:lineRule="auto"/>
              <w:ind w:firstLine="482" w:firstLineChars="200"/>
              <w:contextualSpacing/>
              <w:jc w:val="left"/>
              <w:rPr>
                <w:b/>
                <w:color w:val="auto"/>
                <w:kern w:val="0"/>
                <w:sz w:val="24"/>
              </w:rPr>
            </w:pPr>
            <w:r>
              <w:rPr>
                <w:b/>
                <w:color w:val="auto"/>
                <w:kern w:val="0"/>
                <w:sz w:val="24"/>
              </w:rPr>
              <w:t>2、主要设备</w:t>
            </w:r>
          </w:p>
          <w:p>
            <w:pPr>
              <w:ind w:firstLine="482" w:firstLineChars="200"/>
              <w:contextualSpacing/>
              <w:jc w:val="center"/>
              <w:rPr>
                <w:b/>
                <w:color w:val="auto"/>
                <w:kern w:val="0"/>
                <w:sz w:val="24"/>
              </w:rPr>
            </w:pPr>
            <w:r>
              <w:rPr>
                <w:b/>
                <w:color w:val="auto"/>
                <w:kern w:val="0"/>
                <w:sz w:val="24"/>
              </w:rPr>
              <w:t>表2-2项目设备一览表</w:t>
            </w:r>
          </w:p>
          <w:tbl>
            <w:tblPr>
              <w:tblStyle w:val="15"/>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3110"/>
              <w:gridCol w:w="1148"/>
              <w:gridCol w:w="961"/>
              <w:gridCol w:w="183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8" w:hRule="exact"/>
                <w:jc w:val="center"/>
              </w:trPr>
              <w:tc>
                <w:tcPr>
                  <w:tcW w:w="661" w:type="pct"/>
                  <w:noWrap w:val="0"/>
                  <w:vAlign w:val="center"/>
                </w:tcPr>
                <w:p>
                  <w:pPr>
                    <w:widowControl/>
                    <w:jc w:val="center"/>
                    <w:rPr>
                      <w:color w:val="auto"/>
                      <w:kern w:val="0"/>
                      <w:szCs w:val="21"/>
                    </w:rPr>
                  </w:pPr>
                  <w:r>
                    <w:rPr>
                      <w:color w:val="auto"/>
                      <w:kern w:val="0"/>
                      <w:szCs w:val="21"/>
                    </w:rPr>
                    <w:t>序号</w:t>
                  </w:r>
                </w:p>
              </w:tc>
              <w:tc>
                <w:tcPr>
                  <w:tcW w:w="1913" w:type="pct"/>
                  <w:noWrap w:val="0"/>
                  <w:vAlign w:val="center"/>
                </w:tcPr>
                <w:p>
                  <w:pPr>
                    <w:widowControl/>
                    <w:jc w:val="center"/>
                    <w:rPr>
                      <w:color w:val="auto"/>
                      <w:kern w:val="0"/>
                      <w:szCs w:val="21"/>
                    </w:rPr>
                  </w:pPr>
                  <w:r>
                    <w:rPr>
                      <w:color w:val="auto"/>
                      <w:kern w:val="0"/>
                      <w:szCs w:val="21"/>
                    </w:rPr>
                    <w:t>名称</w:t>
                  </w:r>
                </w:p>
              </w:tc>
              <w:tc>
                <w:tcPr>
                  <w:tcW w:w="706" w:type="pct"/>
                  <w:noWrap w:val="0"/>
                  <w:vAlign w:val="center"/>
                </w:tcPr>
                <w:p>
                  <w:pPr>
                    <w:widowControl/>
                    <w:jc w:val="center"/>
                    <w:rPr>
                      <w:color w:val="auto"/>
                      <w:kern w:val="0"/>
                      <w:szCs w:val="21"/>
                    </w:rPr>
                  </w:pPr>
                  <w:r>
                    <w:rPr>
                      <w:color w:val="auto"/>
                      <w:kern w:val="0"/>
                      <w:szCs w:val="21"/>
                    </w:rPr>
                    <w:t>单位</w:t>
                  </w:r>
                </w:p>
              </w:tc>
              <w:tc>
                <w:tcPr>
                  <w:tcW w:w="591" w:type="pct"/>
                  <w:tcBorders>
                    <w:right w:val="single" w:color="auto" w:sz="4" w:space="0"/>
                  </w:tcBorders>
                  <w:noWrap w:val="0"/>
                  <w:vAlign w:val="center"/>
                </w:tcPr>
                <w:p>
                  <w:pPr>
                    <w:widowControl/>
                    <w:jc w:val="center"/>
                    <w:rPr>
                      <w:color w:val="auto"/>
                      <w:kern w:val="0"/>
                      <w:szCs w:val="21"/>
                    </w:rPr>
                  </w:pPr>
                  <w:r>
                    <w:rPr>
                      <w:color w:val="auto"/>
                      <w:kern w:val="0"/>
                      <w:szCs w:val="21"/>
                    </w:rPr>
                    <w:t>数量</w:t>
                  </w:r>
                </w:p>
              </w:tc>
              <w:tc>
                <w:tcPr>
                  <w:tcW w:w="1129" w:type="pct"/>
                  <w:tcBorders>
                    <w:left w:val="single" w:color="auto" w:sz="4" w:space="0"/>
                  </w:tcBorders>
                  <w:noWrap w:val="0"/>
                  <w:vAlign w:val="center"/>
                </w:tcPr>
                <w:p>
                  <w:pPr>
                    <w:widowControl/>
                    <w:jc w:val="center"/>
                    <w:rPr>
                      <w:color w:val="auto"/>
                      <w:kern w:val="0"/>
                      <w:szCs w:val="21"/>
                    </w:rPr>
                  </w:pPr>
                  <w:r>
                    <w:rPr>
                      <w:rFonts w:hint="eastAsia"/>
                      <w:color w:val="auto"/>
                      <w:kern w:val="0"/>
                      <w:szCs w:val="21"/>
                    </w:rPr>
                    <w:t>备注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08" w:hRule="exact"/>
                <w:jc w:val="center"/>
              </w:trPr>
              <w:tc>
                <w:tcPr>
                  <w:tcW w:w="661" w:type="pct"/>
                  <w:noWrap w:val="0"/>
                  <w:vAlign w:val="center"/>
                </w:tcPr>
                <w:p>
                  <w:pPr>
                    <w:widowControl/>
                    <w:jc w:val="center"/>
                    <w:rPr>
                      <w:color w:val="auto"/>
                      <w:kern w:val="0"/>
                      <w:szCs w:val="21"/>
                    </w:rPr>
                  </w:pPr>
                  <w:r>
                    <w:rPr>
                      <w:color w:val="auto"/>
                      <w:kern w:val="0"/>
                      <w:szCs w:val="21"/>
                    </w:rPr>
                    <w:t>1</w:t>
                  </w:r>
                </w:p>
              </w:tc>
              <w:tc>
                <w:tcPr>
                  <w:tcW w:w="1913" w:type="pct"/>
                  <w:noWrap w:val="0"/>
                  <w:vAlign w:val="center"/>
                </w:tcPr>
                <w:p>
                  <w:pPr>
                    <w:widowControl/>
                    <w:jc w:val="center"/>
                    <w:rPr>
                      <w:color w:val="auto"/>
                      <w:kern w:val="0"/>
                      <w:szCs w:val="21"/>
                    </w:rPr>
                  </w:pPr>
                  <w:r>
                    <w:rPr>
                      <w:rFonts w:hint="eastAsia"/>
                      <w:color w:val="auto"/>
                      <w:kern w:val="0"/>
                      <w:szCs w:val="21"/>
                    </w:rPr>
                    <w:t>7MW</w:t>
                  </w:r>
                  <w:r>
                    <w:rPr>
                      <w:color w:val="auto"/>
                      <w:kern w:val="0"/>
                      <w:szCs w:val="21"/>
                    </w:rPr>
                    <w:t>生物质</w:t>
                  </w:r>
                  <w:r>
                    <w:rPr>
                      <w:rFonts w:hint="eastAsia"/>
                      <w:color w:val="auto"/>
                      <w:kern w:val="0"/>
                      <w:szCs w:val="21"/>
                    </w:rPr>
                    <w:t>热水</w:t>
                  </w:r>
                  <w:r>
                    <w:rPr>
                      <w:color w:val="auto"/>
                      <w:kern w:val="0"/>
                      <w:szCs w:val="21"/>
                    </w:rPr>
                    <w:t>锅炉</w:t>
                  </w:r>
                </w:p>
              </w:tc>
              <w:tc>
                <w:tcPr>
                  <w:tcW w:w="706" w:type="pct"/>
                  <w:noWrap w:val="0"/>
                  <w:vAlign w:val="center"/>
                </w:tcPr>
                <w:p>
                  <w:pPr>
                    <w:widowControl/>
                    <w:jc w:val="center"/>
                    <w:rPr>
                      <w:color w:val="auto"/>
                      <w:kern w:val="0"/>
                      <w:szCs w:val="21"/>
                    </w:rPr>
                  </w:pPr>
                  <w:r>
                    <w:rPr>
                      <w:rFonts w:hint="eastAsia"/>
                      <w:color w:val="auto"/>
                      <w:kern w:val="0"/>
                      <w:szCs w:val="21"/>
                    </w:rPr>
                    <w:t>台</w:t>
                  </w:r>
                </w:p>
              </w:tc>
              <w:tc>
                <w:tcPr>
                  <w:tcW w:w="591" w:type="pct"/>
                  <w:tcBorders>
                    <w:right w:val="single" w:color="auto" w:sz="4" w:space="0"/>
                  </w:tcBorders>
                  <w:noWrap w:val="0"/>
                  <w:vAlign w:val="center"/>
                </w:tcPr>
                <w:p>
                  <w:pPr>
                    <w:widowControl/>
                    <w:jc w:val="center"/>
                    <w:rPr>
                      <w:color w:val="auto"/>
                      <w:kern w:val="0"/>
                      <w:szCs w:val="21"/>
                    </w:rPr>
                  </w:pPr>
                  <w:r>
                    <w:rPr>
                      <w:rFonts w:hint="eastAsia"/>
                      <w:color w:val="auto"/>
                      <w:kern w:val="0"/>
                      <w:szCs w:val="21"/>
                    </w:rPr>
                    <w:t>1</w:t>
                  </w:r>
                </w:p>
              </w:tc>
              <w:tc>
                <w:tcPr>
                  <w:tcW w:w="1129" w:type="pct"/>
                  <w:tcBorders>
                    <w:left w:val="single" w:color="auto" w:sz="4" w:space="0"/>
                  </w:tcBorders>
                  <w:noWrap w:val="0"/>
                  <w:vAlign w:val="center"/>
                </w:tcPr>
                <w:p>
                  <w:pPr>
                    <w:widowControl/>
                    <w:jc w:val="center"/>
                    <w:rPr>
                      <w:color w:val="auto"/>
                      <w:kern w:val="0"/>
                      <w:szCs w:val="21"/>
                    </w:rPr>
                  </w:pPr>
                  <w:r>
                    <w:rPr>
                      <w:rFonts w:hint="eastAsia"/>
                      <w:color w:val="auto"/>
                      <w:kern w:val="0"/>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8" w:hRule="exact"/>
                <w:jc w:val="center"/>
              </w:trPr>
              <w:tc>
                <w:tcPr>
                  <w:tcW w:w="661" w:type="pct"/>
                  <w:noWrap w:val="0"/>
                  <w:vAlign w:val="center"/>
                </w:tcPr>
                <w:p>
                  <w:pPr>
                    <w:widowControl/>
                    <w:jc w:val="center"/>
                    <w:rPr>
                      <w:color w:val="auto"/>
                      <w:kern w:val="0"/>
                      <w:szCs w:val="21"/>
                    </w:rPr>
                  </w:pPr>
                  <w:r>
                    <w:rPr>
                      <w:rFonts w:hint="eastAsia"/>
                      <w:color w:val="auto"/>
                      <w:kern w:val="0"/>
                      <w:szCs w:val="21"/>
                    </w:rPr>
                    <w:t>2</w:t>
                  </w:r>
                </w:p>
              </w:tc>
              <w:tc>
                <w:tcPr>
                  <w:tcW w:w="1913" w:type="pct"/>
                  <w:noWrap w:val="0"/>
                  <w:vAlign w:val="center"/>
                </w:tcPr>
                <w:p>
                  <w:pPr>
                    <w:spacing w:line="0" w:lineRule="atLeast"/>
                    <w:contextualSpacing/>
                    <w:jc w:val="center"/>
                    <w:rPr>
                      <w:rFonts w:ascii="宋体" w:hAnsi="宋体" w:cs="宋体"/>
                      <w:color w:val="auto"/>
                      <w:sz w:val="24"/>
                    </w:rPr>
                  </w:pPr>
                  <w:r>
                    <w:rPr>
                      <w:rFonts w:hint="eastAsia"/>
                      <w:color w:val="auto"/>
                      <w:szCs w:val="21"/>
                    </w:rPr>
                    <w:t>除渣机组</w:t>
                  </w:r>
                </w:p>
              </w:tc>
              <w:tc>
                <w:tcPr>
                  <w:tcW w:w="706" w:type="pct"/>
                  <w:noWrap w:val="0"/>
                  <w:vAlign w:val="center"/>
                </w:tcPr>
                <w:p>
                  <w:pPr>
                    <w:spacing w:line="0" w:lineRule="atLeast"/>
                    <w:contextualSpacing/>
                    <w:jc w:val="center"/>
                    <w:rPr>
                      <w:rFonts w:ascii="宋体" w:hAnsi="宋体" w:cs="宋体"/>
                      <w:color w:val="auto"/>
                      <w:sz w:val="24"/>
                    </w:rPr>
                  </w:pPr>
                  <w:r>
                    <w:rPr>
                      <w:rFonts w:hint="eastAsia"/>
                      <w:color w:val="auto"/>
                      <w:szCs w:val="21"/>
                    </w:rPr>
                    <w:t>套</w:t>
                  </w:r>
                </w:p>
              </w:tc>
              <w:tc>
                <w:tcPr>
                  <w:tcW w:w="591" w:type="pct"/>
                  <w:tcBorders>
                    <w:right w:val="single" w:color="auto" w:sz="4" w:space="0"/>
                  </w:tcBorders>
                  <w:noWrap w:val="0"/>
                  <w:vAlign w:val="center"/>
                </w:tcPr>
                <w:p>
                  <w:pPr>
                    <w:spacing w:line="0" w:lineRule="atLeast"/>
                    <w:contextualSpacing/>
                    <w:jc w:val="center"/>
                    <w:rPr>
                      <w:rFonts w:ascii="宋体" w:hAnsi="宋体" w:cs="宋体"/>
                      <w:color w:val="auto"/>
                      <w:sz w:val="24"/>
                    </w:rPr>
                  </w:pPr>
                  <w:r>
                    <w:rPr>
                      <w:rFonts w:hint="eastAsia"/>
                      <w:color w:val="auto"/>
                      <w:szCs w:val="21"/>
                    </w:rPr>
                    <w:t>1</w:t>
                  </w:r>
                </w:p>
              </w:tc>
              <w:tc>
                <w:tcPr>
                  <w:tcW w:w="1129" w:type="pct"/>
                  <w:tcBorders>
                    <w:left w:val="single" w:color="auto" w:sz="4" w:space="0"/>
                  </w:tcBorders>
                  <w:noWrap w:val="0"/>
                  <w:vAlign w:val="center"/>
                </w:tcPr>
                <w:p>
                  <w:pPr>
                    <w:widowControl/>
                    <w:jc w:val="center"/>
                    <w:rPr>
                      <w:color w:val="auto"/>
                      <w:kern w:val="0"/>
                      <w:szCs w:val="21"/>
                    </w:rPr>
                  </w:pPr>
                  <w:r>
                    <w:rPr>
                      <w:rFonts w:hint="eastAsia"/>
                      <w:color w:val="auto"/>
                      <w:kern w:val="0"/>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8" w:hRule="exact"/>
                <w:jc w:val="center"/>
              </w:trPr>
              <w:tc>
                <w:tcPr>
                  <w:tcW w:w="661" w:type="pct"/>
                  <w:noWrap w:val="0"/>
                  <w:vAlign w:val="center"/>
                </w:tcPr>
                <w:p>
                  <w:pPr>
                    <w:widowControl/>
                    <w:jc w:val="center"/>
                    <w:rPr>
                      <w:color w:val="auto"/>
                      <w:kern w:val="0"/>
                      <w:szCs w:val="21"/>
                    </w:rPr>
                  </w:pPr>
                  <w:r>
                    <w:rPr>
                      <w:rFonts w:hint="eastAsia"/>
                      <w:color w:val="auto"/>
                      <w:kern w:val="0"/>
                      <w:szCs w:val="21"/>
                    </w:rPr>
                    <w:t>3</w:t>
                  </w:r>
                </w:p>
              </w:tc>
              <w:tc>
                <w:tcPr>
                  <w:tcW w:w="1913" w:type="pct"/>
                  <w:noWrap w:val="0"/>
                  <w:vAlign w:val="center"/>
                </w:tcPr>
                <w:p>
                  <w:pPr>
                    <w:spacing w:line="0" w:lineRule="atLeast"/>
                    <w:contextualSpacing/>
                    <w:jc w:val="center"/>
                    <w:rPr>
                      <w:rFonts w:ascii="宋体" w:hAnsi="宋体" w:cs="宋体"/>
                      <w:color w:val="auto"/>
                      <w:sz w:val="24"/>
                    </w:rPr>
                  </w:pPr>
                  <w:r>
                    <w:rPr>
                      <w:rFonts w:hint="eastAsia"/>
                      <w:color w:val="auto"/>
                      <w:szCs w:val="21"/>
                    </w:rPr>
                    <w:t>上料机组</w:t>
                  </w:r>
                </w:p>
              </w:tc>
              <w:tc>
                <w:tcPr>
                  <w:tcW w:w="706" w:type="pct"/>
                  <w:noWrap w:val="0"/>
                  <w:vAlign w:val="center"/>
                </w:tcPr>
                <w:p>
                  <w:pPr>
                    <w:spacing w:line="0" w:lineRule="atLeast"/>
                    <w:contextualSpacing/>
                    <w:jc w:val="center"/>
                    <w:rPr>
                      <w:rFonts w:ascii="宋体" w:hAnsi="宋体" w:cs="宋体"/>
                      <w:color w:val="auto"/>
                      <w:sz w:val="24"/>
                    </w:rPr>
                  </w:pPr>
                  <w:r>
                    <w:rPr>
                      <w:rFonts w:hint="eastAsia"/>
                      <w:color w:val="auto"/>
                      <w:szCs w:val="21"/>
                    </w:rPr>
                    <w:t>台</w:t>
                  </w:r>
                </w:p>
              </w:tc>
              <w:tc>
                <w:tcPr>
                  <w:tcW w:w="591" w:type="pct"/>
                  <w:tcBorders>
                    <w:right w:val="single" w:color="auto" w:sz="4" w:space="0"/>
                  </w:tcBorders>
                  <w:noWrap w:val="0"/>
                  <w:vAlign w:val="center"/>
                </w:tcPr>
                <w:p>
                  <w:pPr>
                    <w:spacing w:line="0" w:lineRule="atLeast"/>
                    <w:contextualSpacing/>
                    <w:jc w:val="center"/>
                    <w:rPr>
                      <w:rFonts w:ascii="宋体" w:hAnsi="宋体" w:cs="宋体"/>
                      <w:color w:val="auto"/>
                      <w:sz w:val="24"/>
                    </w:rPr>
                  </w:pPr>
                  <w:r>
                    <w:rPr>
                      <w:rFonts w:hint="eastAsia"/>
                      <w:color w:val="auto"/>
                      <w:szCs w:val="21"/>
                    </w:rPr>
                    <w:t>1</w:t>
                  </w:r>
                </w:p>
              </w:tc>
              <w:tc>
                <w:tcPr>
                  <w:tcW w:w="1129" w:type="pct"/>
                  <w:tcBorders>
                    <w:left w:val="single" w:color="auto" w:sz="4" w:space="0"/>
                  </w:tcBorders>
                  <w:noWrap w:val="0"/>
                  <w:vAlign w:val="center"/>
                </w:tcPr>
                <w:p>
                  <w:pPr>
                    <w:widowControl/>
                    <w:jc w:val="center"/>
                    <w:rPr>
                      <w:color w:val="auto"/>
                      <w:kern w:val="0"/>
                      <w:szCs w:val="21"/>
                    </w:rPr>
                  </w:pPr>
                  <w:r>
                    <w:rPr>
                      <w:rFonts w:hint="eastAsia"/>
                      <w:color w:val="auto"/>
                      <w:kern w:val="0"/>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08" w:hRule="exact"/>
                <w:jc w:val="center"/>
              </w:trPr>
              <w:tc>
                <w:tcPr>
                  <w:tcW w:w="661" w:type="pct"/>
                  <w:noWrap w:val="0"/>
                  <w:vAlign w:val="center"/>
                </w:tcPr>
                <w:p>
                  <w:pPr>
                    <w:widowControl/>
                    <w:jc w:val="center"/>
                    <w:rPr>
                      <w:color w:val="auto"/>
                      <w:kern w:val="0"/>
                      <w:szCs w:val="21"/>
                    </w:rPr>
                  </w:pPr>
                  <w:r>
                    <w:rPr>
                      <w:rFonts w:hint="eastAsia"/>
                      <w:color w:val="auto"/>
                      <w:kern w:val="0"/>
                      <w:szCs w:val="21"/>
                    </w:rPr>
                    <w:t>4</w:t>
                  </w:r>
                </w:p>
              </w:tc>
              <w:tc>
                <w:tcPr>
                  <w:tcW w:w="1913" w:type="pct"/>
                  <w:noWrap w:val="0"/>
                  <w:vAlign w:val="center"/>
                </w:tcPr>
                <w:p>
                  <w:pPr>
                    <w:spacing w:line="0" w:lineRule="atLeast"/>
                    <w:contextualSpacing/>
                    <w:jc w:val="center"/>
                    <w:rPr>
                      <w:rFonts w:ascii="宋体" w:hAnsi="宋体" w:cs="宋体"/>
                      <w:color w:val="auto"/>
                      <w:sz w:val="24"/>
                    </w:rPr>
                  </w:pPr>
                  <w:r>
                    <w:rPr>
                      <w:rFonts w:hint="eastAsia"/>
                      <w:color w:val="auto"/>
                      <w:szCs w:val="21"/>
                    </w:rPr>
                    <w:t>水泵</w:t>
                  </w:r>
                </w:p>
              </w:tc>
              <w:tc>
                <w:tcPr>
                  <w:tcW w:w="706" w:type="pct"/>
                  <w:noWrap w:val="0"/>
                  <w:vAlign w:val="center"/>
                </w:tcPr>
                <w:p>
                  <w:pPr>
                    <w:spacing w:line="0" w:lineRule="atLeast"/>
                    <w:contextualSpacing/>
                    <w:jc w:val="center"/>
                    <w:rPr>
                      <w:rFonts w:ascii="宋体" w:hAnsi="宋体" w:cs="宋体"/>
                      <w:color w:val="auto"/>
                      <w:sz w:val="24"/>
                    </w:rPr>
                  </w:pPr>
                  <w:r>
                    <w:rPr>
                      <w:rFonts w:hint="eastAsia"/>
                      <w:color w:val="auto"/>
                      <w:szCs w:val="21"/>
                    </w:rPr>
                    <w:t>台</w:t>
                  </w:r>
                </w:p>
              </w:tc>
              <w:tc>
                <w:tcPr>
                  <w:tcW w:w="591" w:type="pct"/>
                  <w:tcBorders>
                    <w:right w:val="single" w:color="auto" w:sz="4" w:space="0"/>
                  </w:tcBorders>
                  <w:noWrap w:val="0"/>
                  <w:vAlign w:val="center"/>
                </w:tcPr>
                <w:p>
                  <w:pPr>
                    <w:spacing w:line="0" w:lineRule="atLeast"/>
                    <w:contextualSpacing/>
                    <w:jc w:val="center"/>
                    <w:rPr>
                      <w:rFonts w:ascii="宋体" w:hAnsi="宋体" w:cs="宋体"/>
                      <w:color w:val="auto"/>
                      <w:sz w:val="24"/>
                    </w:rPr>
                  </w:pPr>
                  <w:r>
                    <w:rPr>
                      <w:rFonts w:hint="eastAsia"/>
                      <w:color w:val="auto"/>
                      <w:szCs w:val="21"/>
                    </w:rPr>
                    <w:t>5</w:t>
                  </w:r>
                </w:p>
              </w:tc>
              <w:tc>
                <w:tcPr>
                  <w:tcW w:w="1129" w:type="pct"/>
                  <w:tcBorders>
                    <w:left w:val="single" w:color="auto" w:sz="4" w:space="0"/>
                  </w:tcBorders>
                  <w:noWrap w:val="0"/>
                  <w:vAlign w:val="center"/>
                </w:tcPr>
                <w:p>
                  <w:pPr>
                    <w:widowControl/>
                    <w:jc w:val="center"/>
                    <w:rPr>
                      <w:color w:val="auto"/>
                      <w:kern w:val="0"/>
                      <w:szCs w:val="21"/>
                    </w:rPr>
                  </w:pPr>
                  <w:r>
                    <w:rPr>
                      <w:rFonts w:hint="eastAsia"/>
                      <w:color w:val="auto"/>
                      <w:kern w:val="0"/>
                      <w:szCs w:val="21"/>
                    </w:rPr>
                    <w:t>3用2备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08" w:hRule="exact"/>
                <w:jc w:val="center"/>
              </w:trPr>
              <w:tc>
                <w:tcPr>
                  <w:tcW w:w="661" w:type="pct"/>
                  <w:noWrap w:val="0"/>
                  <w:vAlign w:val="center"/>
                </w:tcPr>
                <w:p>
                  <w:pPr>
                    <w:widowControl/>
                    <w:jc w:val="center"/>
                    <w:rPr>
                      <w:color w:val="auto"/>
                      <w:kern w:val="0"/>
                      <w:szCs w:val="21"/>
                    </w:rPr>
                  </w:pPr>
                  <w:r>
                    <w:rPr>
                      <w:rFonts w:hint="eastAsia"/>
                      <w:color w:val="auto"/>
                      <w:kern w:val="0"/>
                      <w:szCs w:val="21"/>
                    </w:rPr>
                    <w:t>5</w:t>
                  </w:r>
                </w:p>
              </w:tc>
              <w:tc>
                <w:tcPr>
                  <w:tcW w:w="1913" w:type="pct"/>
                  <w:noWrap w:val="0"/>
                  <w:vAlign w:val="center"/>
                </w:tcPr>
                <w:p>
                  <w:pPr>
                    <w:spacing w:line="0" w:lineRule="atLeast"/>
                    <w:contextualSpacing/>
                    <w:jc w:val="center"/>
                    <w:rPr>
                      <w:rFonts w:ascii="宋体" w:hAnsi="宋体" w:cs="宋体"/>
                      <w:color w:val="auto"/>
                      <w:sz w:val="24"/>
                    </w:rPr>
                  </w:pPr>
                  <w:r>
                    <w:rPr>
                      <w:rFonts w:hint="eastAsia"/>
                      <w:color w:val="auto"/>
                      <w:szCs w:val="21"/>
                    </w:rPr>
                    <w:t>陶瓷多管+布袋除尘器</w:t>
                  </w:r>
                </w:p>
              </w:tc>
              <w:tc>
                <w:tcPr>
                  <w:tcW w:w="706" w:type="pct"/>
                  <w:noWrap w:val="0"/>
                  <w:vAlign w:val="center"/>
                </w:tcPr>
                <w:p>
                  <w:pPr>
                    <w:spacing w:line="0" w:lineRule="atLeast"/>
                    <w:contextualSpacing/>
                    <w:jc w:val="center"/>
                    <w:rPr>
                      <w:rFonts w:ascii="宋体" w:hAnsi="宋体" w:cs="宋体"/>
                      <w:color w:val="auto"/>
                      <w:sz w:val="24"/>
                    </w:rPr>
                  </w:pPr>
                  <w:r>
                    <w:rPr>
                      <w:rFonts w:hint="eastAsia"/>
                      <w:color w:val="auto"/>
                      <w:szCs w:val="21"/>
                    </w:rPr>
                    <w:t>套</w:t>
                  </w:r>
                </w:p>
              </w:tc>
              <w:tc>
                <w:tcPr>
                  <w:tcW w:w="591" w:type="pct"/>
                  <w:tcBorders>
                    <w:right w:val="single" w:color="auto" w:sz="4" w:space="0"/>
                  </w:tcBorders>
                  <w:noWrap w:val="0"/>
                  <w:vAlign w:val="center"/>
                </w:tcPr>
                <w:p>
                  <w:pPr>
                    <w:spacing w:line="0" w:lineRule="atLeast"/>
                    <w:contextualSpacing/>
                    <w:jc w:val="center"/>
                    <w:rPr>
                      <w:rFonts w:ascii="宋体" w:hAnsi="宋体" w:cs="宋体"/>
                      <w:color w:val="auto"/>
                      <w:sz w:val="24"/>
                    </w:rPr>
                  </w:pPr>
                  <w:r>
                    <w:rPr>
                      <w:rFonts w:hint="eastAsia"/>
                      <w:color w:val="auto"/>
                      <w:szCs w:val="21"/>
                    </w:rPr>
                    <w:t>1</w:t>
                  </w:r>
                </w:p>
              </w:tc>
              <w:tc>
                <w:tcPr>
                  <w:tcW w:w="1129" w:type="pct"/>
                  <w:tcBorders>
                    <w:left w:val="single" w:color="auto" w:sz="4" w:space="0"/>
                  </w:tcBorders>
                  <w:noWrap w:val="0"/>
                  <w:vAlign w:val="center"/>
                </w:tcPr>
                <w:p>
                  <w:pPr>
                    <w:widowControl/>
                    <w:jc w:val="center"/>
                    <w:rPr>
                      <w:color w:val="auto"/>
                      <w:kern w:val="0"/>
                      <w:szCs w:val="21"/>
                    </w:rPr>
                  </w:pPr>
                  <w:r>
                    <w:rPr>
                      <w:rFonts w:hint="eastAsia"/>
                      <w:color w:val="auto"/>
                      <w:kern w:val="0"/>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08" w:hRule="exact"/>
                <w:jc w:val="center"/>
              </w:trPr>
              <w:tc>
                <w:tcPr>
                  <w:tcW w:w="661" w:type="pct"/>
                  <w:noWrap w:val="0"/>
                  <w:vAlign w:val="center"/>
                </w:tcPr>
                <w:p>
                  <w:pPr>
                    <w:widowControl/>
                    <w:jc w:val="center"/>
                    <w:rPr>
                      <w:color w:val="auto"/>
                      <w:kern w:val="0"/>
                      <w:szCs w:val="21"/>
                    </w:rPr>
                  </w:pPr>
                  <w:r>
                    <w:rPr>
                      <w:rFonts w:hint="eastAsia"/>
                      <w:color w:val="auto"/>
                      <w:kern w:val="0"/>
                      <w:szCs w:val="21"/>
                    </w:rPr>
                    <w:t>6</w:t>
                  </w:r>
                </w:p>
              </w:tc>
              <w:tc>
                <w:tcPr>
                  <w:tcW w:w="1913" w:type="pct"/>
                  <w:noWrap w:val="0"/>
                  <w:vAlign w:val="center"/>
                </w:tcPr>
                <w:p>
                  <w:pPr>
                    <w:widowControl/>
                    <w:jc w:val="center"/>
                    <w:rPr>
                      <w:color w:val="auto"/>
                      <w:kern w:val="0"/>
                      <w:szCs w:val="21"/>
                    </w:rPr>
                  </w:pPr>
                  <w:r>
                    <w:rPr>
                      <w:color w:val="auto"/>
                      <w:kern w:val="0"/>
                      <w:szCs w:val="21"/>
                    </w:rPr>
                    <w:t>软化水制备装置</w:t>
                  </w:r>
                </w:p>
              </w:tc>
              <w:tc>
                <w:tcPr>
                  <w:tcW w:w="706" w:type="pct"/>
                  <w:noWrap w:val="0"/>
                  <w:vAlign w:val="center"/>
                </w:tcPr>
                <w:p>
                  <w:pPr>
                    <w:widowControl/>
                    <w:jc w:val="center"/>
                    <w:rPr>
                      <w:color w:val="auto"/>
                      <w:kern w:val="0"/>
                      <w:szCs w:val="21"/>
                    </w:rPr>
                  </w:pPr>
                  <w:r>
                    <w:rPr>
                      <w:rFonts w:hint="eastAsia"/>
                      <w:color w:val="auto"/>
                      <w:kern w:val="0"/>
                      <w:szCs w:val="21"/>
                    </w:rPr>
                    <w:t>台</w:t>
                  </w:r>
                </w:p>
              </w:tc>
              <w:tc>
                <w:tcPr>
                  <w:tcW w:w="591" w:type="pct"/>
                  <w:tcBorders>
                    <w:right w:val="single" w:color="auto" w:sz="4" w:space="0"/>
                  </w:tcBorders>
                  <w:noWrap w:val="0"/>
                  <w:vAlign w:val="center"/>
                </w:tcPr>
                <w:p>
                  <w:pPr>
                    <w:widowControl/>
                    <w:jc w:val="center"/>
                    <w:rPr>
                      <w:color w:val="auto"/>
                      <w:kern w:val="0"/>
                      <w:szCs w:val="21"/>
                    </w:rPr>
                  </w:pPr>
                  <w:r>
                    <w:rPr>
                      <w:rFonts w:hint="eastAsia"/>
                      <w:color w:val="auto"/>
                      <w:kern w:val="0"/>
                      <w:szCs w:val="21"/>
                    </w:rPr>
                    <w:t>1</w:t>
                  </w:r>
                </w:p>
              </w:tc>
              <w:tc>
                <w:tcPr>
                  <w:tcW w:w="1129" w:type="pct"/>
                  <w:tcBorders>
                    <w:left w:val="single" w:color="auto" w:sz="4" w:space="0"/>
                  </w:tcBorders>
                  <w:noWrap w:val="0"/>
                  <w:vAlign w:val="center"/>
                </w:tcPr>
                <w:p>
                  <w:pPr>
                    <w:widowControl/>
                    <w:jc w:val="center"/>
                    <w:rPr>
                      <w:color w:val="auto"/>
                      <w:kern w:val="0"/>
                      <w:szCs w:val="21"/>
                    </w:rPr>
                  </w:pPr>
                  <w:r>
                    <w:rPr>
                      <w:rFonts w:hint="eastAsia"/>
                      <w:color w:val="auto"/>
                      <w:kern w:val="0"/>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08" w:hRule="exact"/>
                <w:jc w:val="center"/>
              </w:trPr>
              <w:tc>
                <w:tcPr>
                  <w:tcW w:w="661" w:type="pct"/>
                  <w:noWrap w:val="0"/>
                  <w:vAlign w:val="center"/>
                </w:tcPr>
                <w:p>
                  <w:pPr>
                    <w:widowControl/>
                    <w:jc w:val="center"/>
                    <w:rPr>
                      <w:color w:val="auto"/>
                      <w:kern w:val="0"/>
                      <w:szCs w:val="21"/>
                    </w:rPr>
                  </w:pPr>
                  <w:r>
                    <w:rPr>
                      <w:rFonts w:hint="eastAsia"/>
                      <w:color w:val="auto"/>
                      <w:kern w:val="0"/>
                      <w:szCs w:val="21"/>
                    </w:rPr>
                    <w:t>7</w:t>
                  </w:r>
                </w:p>
              </w:tc>
              <w:tc>
                <w:tcPr>
                  <w:tcW w:w="1913" w:type="pct"/>
                  <w:noWrap w:val="0"/>
                  <w:vAlign w:val="center"/>
                </w:tcPr>
                <w:p>
                  <w:pPr>
                    <w:widowControl/>
                    <w:jc w:val="center"/>
                    <w:rPr>
                      <w:color w:val="auto"/>
                      <w:kern w:val="0"/>
                      <w:szCs w:val="21"/>
                    </w:rPr>
                  </w:pPr>
                  <w:r>
                    <w:rPr>
                      <w:color w:val="auto"/>
                      <w:kern w:val="0"/>
                      <w:szCs w:val="21"/>
                    </w:rPr>
                    <w:t>烟囱</w:t>
                  </w:r>
                </w:p>
              </w:tc>
              <w:tc>
                <w:tcPr>
                  <w:tcW w:w="706" w:type="pct"/>
                  <w:noWrap w:val="0"/>
                  <w:vAlign w:val="center"/>
                </w:tcPr>
                <w:p>
                  <w:pPr>
                    <w:widowControl/>
                    <w:jc w:val="center"/>
                    <w:rPr>
                      <w:color w:val="auto"/>
                      <w:kern w:val="0"/>
                      <w:szCs w:val="21"/>
                    </w:rPr>
                  </w:pPr>
                  <w:r>
                    <w:rPr>
                      <w:rFonts w:hint="eastAsia"/>
                      <w:color w:val="auto"/>
                      <w:kern w:val="0"/>
                      <w:szCs w:val="21"/>
                    </w:rPr>
                    <w:t>根</w:t>
                  </w:r>
                </w:p>
              </w:tc>
              <w:tc>
                <w:tcPr>
                  <w:tcW w:w="591" w:type="pct"/>
                  <w:tcBorders>
                    <w:right w:val="single" w:color="auto" w:sz="4" w:space="0"/>
                  </w:tcBorders>
                  <w:noWrap w:val="0"/>
                  <w:vAlign w:val="center"/>
                </w:tcPr>
                <w:p>
                  <w:pPr>
                    <w:widowControl/>
                    <w:jc w:val="center"/>
                    <w:rPr>
                      <w:color w:val="auto"/>
                      <w:kern w:val="0"/>
                      <w:szCs w:val="21"/>
                    </w:rPr>
                  </w:pPr>
                  <w:r>
                    <w:rPr>
                      <w:rFonts w:hint="eastAsia"/>
                      <w:color w:val="auto"/>
                      <w:kern w:val="0"/>
                      <w:szCs w:val="21"/>
                    </w:rPr>
                    <w:t>1</w:t>
                  </w:r>
                </w:p>
              </w:tc>
              <w:tc>
                <w:tcPr>
                  <w:tcW w:w="1129" w:type="pct"/>
                  <w:tcBorders>
                    <w:left w:val="single" w:color="auto" w:sz="4" w:space="0"/>
                  </w:tcBorders>
                  <w:noWrap w:val="0"/>
                  <w:vAlign w:val="center"/>
                </w:tcPr>
                <w:p>
                  <w:pPr>
                    <w:widowControl/>
                    <w:jc w:val="center"/>
                    <w:rPr>
                      <w:color w:val="auto"/>
                      <w:kern w:val="0"/>
                      <w:szCs w:val="21"/>
                    </w:rPr>
                  </w:pPr>
                  <w:r>
                    <w:rPr>
                      <w:rFonts w:hint="eastAsia"/>
                      <w:color w:val="auto"/>
                      <w:kern w:val="0"/>
                      <w:szCs w:val="21"/>
                    </w:rPr>
                    <w:t>40m</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8" w:hRule="exact"/>
                <w:jc w:val="center"/>
              </w:trPr>
              <w:tc>
                <w:tcPr>
                  <w:tcW w:w="661" w:type="pct"/>
                  <w:noWrap w:val="0"/>
                  <w:vAlign w:val="center"/>
                </w:tcPr>
                <w:p>
                  <w:pPr>
                    <w:widowControl/>
                    <w:jc w:val="center"/>
                    <w:rPr>
                      <w:rFonts w:hint="eastAsia"/>
                      <w:color w:val="auto"/>
                      <w:kern w:val="0"/>
                      <w:szCs w:val="21"/>
                    </w:rPr>
                  </w:pPr>
                  <w:r>
                    <w:rPr>
                      <w:rFonts w:hint="eastAsia"/>
                      <w:color w:val="auto"/>
                      <w:kern w:val="0"/>
                      <w:szCs w:val="21"/>
                    </w:rPr>
                    <w:t>8</w:t>
                  </w:r>
                </w:p>
              </w:tc>
              <w:tc>
                <w:tcPr>
                  <w:tcW w:w="1913" w:type="pct"/>
                  <w:noWrap w:val="0"/>
                  <w:vAlign w:val="center"/>
                </w:tcPr>
                <w:p>
                  <w:pPr>
                    <w:widowControl/>
                    <w:jc w:val="center"/>
                    <w:rPr>
                      <w:color w:val="auto"/>
                      <w:kern w:val="0"/>
                      <w:szCs w:val="21"/>
                    </w:rPr>
                  </w:pPr>
                  <w:r>
                    <w:rPr>
                      <w:color w:val="auto"/>
                      <w:kern w:val="0"/>
                      <w:szCs w:val="21"/>
                    </w:rPr>
                    <w:t>风机</w:t>
                  </w:r>
                </w:p>
              </w:tc>
              <w:tc>
                <w:tcPr>
                  <w:tcW w:w="706" w:type="pct"/>
                  <w:noWrap w:val="0"/>
                  <w:vAlign w:val="center"/>
                </w:tcPr>
                <w:p>
                  <w:pPr>
                    <w:widowControl/>
                    <w:jc w:val="center"/>
                    <w:rPr>
                      <w:rFonts w:hint="eastAsia"/>
                      <w:color w:val="auto"/>
                      <w:kern w:val="0"/>
                      <w:szCs w:val="21"/>
                    </w:rPr>
                  </w:pPr>
                  <w:r>
                    <w:rPr>
                      <w:rFonts w:hint="eastAsia"/>
                      <w:color w:val="auto"/>
                      <w:kern w:val="0"/>
                      <w:szCs w:val="21"/>
                    </w:rPr>
                    <w:t>台</w:t>
                  </w:r>
                </w:p>
              </w:tc>
              <w:tc>
                <w:tcPr>
                  <w:tcW w:w="591" w:type="pct"/>
                  <w:tcBorders>
                    <w:right w:val="single" w:color="auto" w:sz="4" w:space="0"/>
                  </w:tcBorders>
                  <w:noWrap w:val="0"/>
                  <w:vAlign w:val="center"/>
                </w:tcPr>
                <w:p>
                  <w:pPr>
                    <w:widowControl/>
                    <w:jc w:val="center"/>
                    <w:rPr>
                      <w:rFonts w:hint="eastAsia"/>
                      <w:color w:val="auto"/>
                      <w:kern w:val="0"/>
                      <w:szCs w:val="21"/>
                    </w:rPr>
                  </w:pPr>
                  <w:r>
                    <w:rPr>
                      <w:rFonts w:hint="eastAsia"/>
                      <w:color w:val="auto"/>
                      <w:kern w:val="0"/>
                      <w:szCs w:val="21"/>
                    </w:rPr>
                    <w:t>2</w:t>
                  </w:r>
                </w:p>
              </w:tc>
              <w:tc>
                <w:tcPr>
                  <w:tcW w:w="1129" w:type="pct"/>
                  <w:tcBorders>
                    <w:left w:val="single" w:color="auto" w:sz="4" w:space="0"/>
                  </w:tcBorders>
                  <w:noWrap w:val="0"/>
                  <w:vAlign w:val="center"/>
                </w:tcPr>
                <w:p>
                  <w:pPr>
                    <w:widowControl/>
                    <w:jc w:val="center"/>
                    <w:rPr>
                      <w:rFonts w:hint="eastAsia"/>
                      <w:color w:val="auto"/>
                      <w:kern w:val="0"/>
                      <w:szCs w:val="21"/>
                    </w:rPr>
                  </w:pPr>
                  <w:r>
                    <w:rPr>
                      <w:rFonts w:hint="eastAsia"/>
                      <w:color w:val="auto"/>
                      <w:kern w:val="0"/>
                      <w:szCs w:val="21"/>
                    </w:rPr>
                    <w:t>/</w:t>
                  </w:r>
                </w:p>
              </w:tc>
            </w:tr>
          </w:tbl>
          <w:p>
            <w:pPr>
              <w:spacing w:line="360" w:lineRule="auto"/>
              <w:ind w:firstLine="482" w:firstLineChars="200"/>
              <w:contextualSpacing/>
              <w:jc w:val="left"/>
              <w:rPr>
                <w:b/>
                <w:color w:val="auto"/>
                <w:kern w:val="0"/>
                <w:sz w:val="24"/>
              </w:rPr>
            </w:pPr>
            <w:r>
              <w:rPr>
                <w:b/>
                <w:color w:val="auto"/>
                <w:kern w:val="0"/>
                <w:sz w:val="24"/>
              </w:rPr>
              <w:t>3、主要原辅材料</w:t>
            </w:r>
          </w:p>
          <w:p>
            <w:pPr>
              <w:jc w:val="center"/>
              <w:rPr>
                <w:b/>
                <w:color w:val="auto"/>
                <w:sz w:val="24"/>
              </w:rPr>
            </w:pPr>
            <w:r>
              <w:rPr>
                <w:b/>
                <w:color w:val="auto"/>
                <w:sz w:val="24"/>
              </w:rPr>
              <w:t>表2-3 项目原辅材料变化情况一览表</w:t>
            </w:r>
          </w:p>
          <w:tbl>
            <w:tblPr>
              <w:tblStyle w:val="1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298"/>
              <w:gridCol w:w="2339"/>
              <w:gridCol w:w="992"/>
              <w:gridCol w:w="1665"/>
              <w:gridCol w:w="183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7" w:hRule="atLeast"/>
                <w:jc w:val="center"/>
              </w:trPr>
              <w:tc>
                <w:tcPr>
                  <w:tcW w:w="798" w:type="pct"/>
                  <w:noWrap w:val="0"/>
                  <w:vAlign w:val="center"/>
                </w:tcPr>
                <w:p>
                  <w:pPr>
                    <w:autoSpaceDE w:val="0"/>
                    <w:autoSpaceDN w:val="0"/>
                    <w:spacing w:line="0" w:lineRule="atLeast"/>
                    <w:contextualSpacing/>
                    <w:jc w:val="center"/>
                    <w:rPr>
                      <w:color w:val="auto"/>
                      <w:szCs w:val="21"/>
                    </w:rPr>
                  </w:pPr>
                  <w:r>
                    <w:rPr>
                      <w:rFonts w:hint="eastAsia"/>
                      <w:color w:val="auto"/>
                      <w:szCs w:val="21"/>
                    </w:rPr>
                    <w:t>序号</w:t>
                  </w:r>
                </w:p>
              </w:tc>
              <w:tc>
                <w:tcPr>
                  <w:tcW w:w="1438" w:type="pct"/>
                  <w:noWrap w:val="0"/>
                  <w:vAlign w:val="center"/>
                </w:tcPr>
                <w:p>
                  <w:pPr>
                    <w:autoSpaceDE w:val="0"/>
                    <w:autoSpaceDN w:val="0"/>
                    <w:spacing w:line="0" w:lineRule="atLeast"/>
                    <w:contextualSpacing/>
                    <w:jc w:val="center"/>
                    <w:rPr>
                      <w:color w:val="auto"/>
                      <w:szCs w:val="21"/>
                    </w:rPr>
                  </w:pPr>
                  <w:r>
                    <w:rPr>
                      <w:rFonts w:hint="eastAsia"/>
                      <w:color w:val="auto"/>
                      <w:szCs w:val="21"/>
                    </w:rPr>
                    <w:t>原辅料名称</w:t>
                  </w:r>
                </w:p>
              </w:tc>
              <w:tc>
                <w:tcPr>
                  <w:tcW w:w="610" w:type="pct"/>
                  <w:noWrap w:val="0"/>
                  <w:vAlign w:val="center"/>
                </w:tcPr>
                <w:p>
                  <w:pPr>
                    <w:autoSpaceDE w:val="0"/>
                    <w:autoSpaceDN w:val="0"/>
                    <w:spacing w:line="0" w:lineRule="atLeast"/>
                    <w:contextualSpacing/>
                    <w:jc w:val="center"/>
                    <w:rPr>
                      <w:color w:val="auto"/>
                      <w:szCs w:val="21"/>
                    </w:rPr>
                  </w:pPr>
                  <w:r>
                    <w:rPr>
                      <w:rFonts w:hint="eastAsia"/>
                      <w:color w:val="auto"/>
                      <w:szCs w:val="21"/>
                    </w:rPr>
                    <w:t>单位</w:t>
                  </w:r>
                </w:p>
              </w:tc>
              <w:tc>
                <w:tcPr>
                  <w:tcW w:w="1024" w:type="pct"/>
                  <w:noWrap w:val="0"/>
                  <w:vAlign w:val="center"/>
                </w:tcPr>
                <w:p>
                  <w:pPr>
                    <w:autoSpaceDE w:val="0"/>
                    <w:autoSpaceDN w:val="0"/>
                    <w:spacing w:line="0" w:lineRule="atLeast"/>
                    <w:contextualSpacing/>
                    <w:jc w:val="center"/>
                    <w:rPr>
                      <w:color w:val="auto"/>
                      <w:szCs w:val="21"/>
                    </w:rPr>
                  </w:pPr>
                  <w:r>
                    <w:rPr>
                      <w:rFonts w:hint="eastAsia"/>
                      <w:color w:val="auto"/>
                      <w:szCs w:val="21"/>
                    </w:rPr>
                    <w:t>用量</w:t>
                  </w:r>
                </w:p>
              </w:tc>
              <w:tc>
                <w:tcPr>
                  <w:tcW w:w="1130" w:type="pct"/>
                  <w:noWrap w:val="0"/>
                  <w:vAlign w:val="center"/>
                </w:tcPr>
                <w:p>
                  <w:pPr>
                    <w:autoSpaceDE w:val="0"/>
                    <w:autoSpaceDN w:val="0"/>
                    <w:spacing w:line="0" w:lineRule="atLeast"/>
                    <w:contextualSpacing/>
                    <w:jc w:val="center"/>
                    <w:rPr>
                      <w:color w:val="auto"/>
                      <w:szCs w:val="21"/>
                    </w:rPr>
                  </w:pPr>
                  <w:r>
                    <w:rPr>
                      <w:rFonts w:hint="eastAsia"/>
                      <w:color w:val="auto"/>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798" w:type="pct"/>
                  <w:noWrap w:val="0"/>
                  <w:vAlign w:val="center"/>
                </w:tcPr>
                <w:p>
                  <w:pPr>
                    <w:autoSpaceDE w:val="0"/>
                    <w:autoSpaceDN w:val="0"/>
                    <w:spacing w:line="0" w:lineRule="atLeast"/>
                    <w:contextualSpacing/>
                    <w:jc w:val="center"/>
                    <w:rPr>
                      <w:color w:val="auto"/>
                      <w:szCs w:val="21"/>
                    </w:rPr>
                  </w:pPr>
                  <w:r>
                    <w:rPr>
                      <w:rFonts w:hint="eastAsia"/>
                      <w:color w:val="auto"/>
                      <w:szCs w:val="21"/>
                    </w:rPr>
                    <w:t>1</w:t>
                  </w:r>
                </w:p>
              </w:tc>
              <w:tc>
                <w:tcPr>
                  <w:tcW w:w="1438" w:type="pct"/>
                  <w:noWrap w:val="0"/>
                  <w:vAlign w:val="center"/>
                </w:tcPr>
                <w:p>
                  <w:pPr>
                    <w:spacing w:line="0" w:lineRule="atLeast"/>
                    <w:contextualSpacing/>
                    <w:jc w:val="center"/>
                    <w:rPr>
                      <w:color w:val="auto"/>
                      <w:szCs w:val="21"/>
                    </w:rPr>
                  </w:pPr>
                  <w:r>
                    <w:rPr>
                      <w:rFonts w:hint="eastAsia"/>
                      <w:color w:val="auto"/>
                      <w:szCs w:val="21"/>
                    </w:rPr>
                    <w:t>水</w:t>
                  </w:r>
                </w:p>
              </w:tc>
              <w:tc>
                <w:tcPr>
                  <w:tcW w:w="610" w:type="pct"/>
                  <w:noWrap w:val="0"/>
                  <w:vAlign w:val="center"/>
                </w:tcPr>
                <w:p>
                  <w:pPr>
                    <w:spacing w:line="0" w:lineRule="atLeast"/>
                    <w:contextualSpacing/>
                    <w:jc w:val="center"/>
                    <w:rPr>
                      <w:color w:val="auto"/>
                      <w:szCs w:val="21"/>
                    </w:rPr>
                  </w:pPr>
                  <w:r>
                    <w:rPr>
                      <w:rFonts w:hint="eastAsia"/>
                      <w:color w:val="auto"/>
                      <w:szCs w:val="21"/>
                    </w:rPr>
                    <w:t>t/a</w:t>
                  </w:r>
                </w:p>
              </w:tc>
              <w:tc>
                <w:tcPr>
                  <w:tcW w:w="1024" w:type="pct"/>
                  <w:noWrap w:val="0"/>
                  <w:vAlign w:val="center"/>
                </w:tcPr>
                <w:p>
                  <w:pPr>
                    <w:autoSpaceDE w:val="0"/>
                    <w:autoSpaceDN w:val="0"/>
                    <w:spacing w:line="0" w:lineRule="atLeast"/>
                    <w:contextualSpacing/>
                    <w:jc w:val="center"/>
                    <w:rPr>
                      <w:color w:val="auto"/>
                      <w:szCs w:val="21"/>
                      <w:highlight w:val="yellow"/>
                    </w:rPr>
                  </w:pPr>
                  <w:r>
                    <w:rPr>
                      <w:rFonts w:hint="eastAsia"/>
                      <w:color w:val="auto"/>
                      <w:szCs w:val="21"/>
                    </w:rPr>
                    <w:t>3401.6</w:t>
                  </w:r>
                </w:p>
              </w:tc>
              <w:tc>
                <w:tcPr>
                  <w:tcW w:w="1130" w:type="pct"/>
                  <w:noWrap w:val="0"/>
                  <w:vAlign w:val="center"/>
                </w:tcPr>
                <w:p>
                  <w:pPr>
                    <w:autoSpaceDE w:val="0"/>
                    <w:autoSpaceDN w:val="0"/>
                    <w:spacing w:line="0" w:lineRule="atLeast"/>
                    <w:contextualSpacing/>
                    <w:jc w:val="center"/>
                    <w:rPr>
                      <w:color w:val="auto"/>
                      <w:szCs w:val="21"/>
                    </w:rPr>
                  </w:pPr>
                  <w:r>
                    <w:rPr>
                      <w:rFonts w:hint="eastAsia"/>
                      <w:color w:val="auto"/>
                      <w:szCs w:val="21"/>
                    </w:rPr>
                    <w:t>市政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98" w:type="pct"/>
                  <w:noWrap w:val="0"/>
                  <w:vAlign w:val="center"/>
                </w:tcPr>
                <w:p>
                  <w:pPr>
                    <w:autoSpaceDE w:val="0"/>
                    <w:autoSpaceDN w:val="0"/>
                    <w:spacing w:line="0" w:lineRule="atLeast"/>
                    <w:contextualSpacing/>
                    <w:jc w:val="center"/>
                    <w:rPr>
                      <w:color w:val="auto"/>
                      <w:szCs w:val="21"/>
                    </w:rPr>
                  </w:pPr>
                  <w:r>
                    <w:rPr>
                      <w:rFonts w:hint="eastAsia"/>
                      <w:color w:val="auto"/>
                      <w:szCs w:val="21"/>
                    </w:rPr>
                    <w:t>2</w:t>
                  </w:r>
                </w:p>
              </w:tc>
              <w:tc>
                <w:tcPr>
                  <w:tcW w:w="1438" w:type="pct"/>
                  <w:noWrap w:val="0"/>
                  <w:vAlign w:val="center"/>
                </w:tcPr>
                <w:p>
                  <w:pPr>
                    <w:spacing w:line="0" w:lineRule="atLeast"/>
                    <w:contextualSpacing/>
                    <w:jc w:val="center"/>
                    <w:rPr>
                      <w:color w:val="auto"/>
                      <w:szCs w:val="21"/>
                    </w:rPr>
                  </w:pPr>
                  <w:r>
                    <w:rPr>
                      <w:rFonts w:hint="eastAsia"/>
                      <w:color w:val="auto"/>
                      <w:szCs w:val="21"/>
                    </w:rPr>
                    <w:t>生物质（秸秆）</w:t>
                  </w:r>
                </w:p>
              </w:tc>
              <w:tc>
                <w:tcPr>
                  <w:tcW w:w="610" w:type="pct"/>
                  <w:noWrap w:val="0"/>
                  <w:vAlign w:val="center"/>
                </w:tcPr>
                <w:p>
                  <w:pPr>
                    <w:spacing w:line="0" w:lineRule="atLeast"/>
                    <w:contextualSpacing/>
                    <w:jc w:val="center"/>
                    <w:rPr>
                      <w:color w:val="auto"/>
                      <w:szCs w:val="21"/>
                    </w:rPr>
                  </w:pPr>
                  <w:r>
                    <w:rPr>
                      <w:rFonts w:hint="eastAsia"/>
                      <w:color w:val="auto"/>
                      <w:szCs w:val="21"/>
                    </w:rPr>
                    <w:t>t/a</w:t>
                  </w:r>
                </w:p>
              </w:tc>
              <w:tc>
                <w:tcPr>
                  <w:tcW w:w="1024" w:type="pct"/>
                  <w:noWrap w:val="0"/>
                  <w:vAlign w:val="center"/>
                </w:tcPr>
                <w:p>
                  <w:pPr>
                    <w:autoSpaceDE w:val="0"/>
                    <w:autoSpaceDN w:val="0"/>
                    <w:spacing w:line="0" w:lineRule="atLeast"/>
                    <w:contextualSpacing/>
                    <w:jc w:val="center"/>
                    <w:rPr>
                      <w:color w:val="auto"/>
                      <w:szCs w:val="21"/>
                      <w:highlight w:val="yellow"/>
                    </w:rPr>
                  </w:pPr>
                  <w:r>
                    <w:rPr>
                      <w:rFonts w:hint="eastAsia"/>
                      <w:color w:val="auto"/>
                      <w:szCs w:val="21"/>
                    </w:rPr>
                    <w:t>5515</w:t>
                  </w:r>
                </w:p>
              </w:tc>
              <w:tc>
                <w:tcPr>
                  <w:tcW w:w="1130" w:type="pct"/>
                  <w:noWrap w:val="0"/>
                  <w:vAlign w:val="center"/>
                </w:tcPr>
                <w:p>
                  <w:pPr>
                    <w:autoSpaceDE w:val="0"/>
                    <w:autoSpaceDN w:val="0"/>
                    <w:spacing w:line="0" w:lineRule="atLeast"/>
                    <w:contextualSpacing/>
                    <w:jc w:val="center"/>
                    <w:rPr>
                      <w:color w:val="auto"/>
                      <w:szCs w:val="21"/>
                    </w:rPr>
                  </w:pPr>
                  <w:r>
                    <w:rPr>
                      <w:rFonts w:hint="eastAsia"/>
                      <w:color w:val="auto"/>
                      <w:szCs w:val="21"/>
                    </w:rPr>
                    <w:t>外购，散烧</w:t>
                  </w:r>
                </w:p>
              </w:tc>
            </w:tr>
          </w:tbl>
          <w:p>
            <w:pPr>
              <w:ind w:firstLine="482" w:firstLineChars="200"/>
              <w:contextualSpacing/>
              <w:jc w:val="center"/>
              <w:rPr>
                <w:b/>
                <w:color w:val="auto"/>
                <w:kern w:val="0"/>
                <w:sz w:val="24"/>
              </w:rPr>
            </w:pPr>
            <w:r>
              <w:rPr>
                <w:b/>
                <w:color w:val="auto"/>
                <w:kern w:val="0"/>
                <w:sz w:val="24"/>
              </w:rPr>
              <w:t>表 2-4 本项目生物质燃料成分一览表</w:t>
            </w:r>
          </w:p>
          <w:tbl>
            <w:tblPr>
              <w:tblStyle w:val="1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075"/>
              <w:gridCol w:w="948"/>
              <w:gridCol w:w="693"/>
              <w:gridCol w:w="262"/>
              <w:gridCol w:w="490"/>
              <w:gridCol w:w="76"/>
              <w:gridCol w:w="561"/>
              <w:gridCol w:w="317"/>
              <w:gridCol w:w="358"/>
              <w:gridCol w:w="285"/>
              <w:gridCol w:w="429"/>
              <w:gridCol w:w="483"/>
              <w:gridCol w:w="353"/>
              <w:gridCol w:w="722"/>
              <w:gridCol w:w="112"/>
              <w:gridCol w:w="96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7" w:hRule="atLeast"/>
                <w:jc w:val="center"/>
              </w:trPr>
              <w:tc>
                <w:tcPr>
                  <w:tcW w:w="661" w:type="pct"/>
                  <w:noWrap w:val="0"/>
                  <w:vAlign w:val="center"/>
                </w:tcPr>
                <w:p>
                  <w:pPr>
                    <w:autoSpaceDE w:val="0"/>
                    <w:autoSpaceDN w:val="0"/>
                    <w:contextualSpacing/>
                    <w:jc w:val="center"/>
                    <w:rPr>
                      <w:color w:val="auto"/>
                      <w:szCs w:val="21"/>
                    </w:rPr>
                  </w:pPr>
                  <w:bookmarkStart w:id="8" w:name="_Hlk150247375"/>
                  <w:r>
                    <w:rPr>
                      <w:rFonts w:hint="eastAsia"/>
                      <w:color w:val="auto"/>
                      <w:szCs w:val="21"/>
                    </w:rPr>
                    <w:t>燃料名称</w:t>
                  </w:r>
                </w:p>
              </w:tc>
              <w:tc>
                <w:tcPr>
                  <w:tcW w:w="4339" w:type="pct"/>
                  <w:gridSpan w:val="15"/>
                  <w:noWrap w:val="0"/>
                  <w:vAlign w:val="center"/>
                </w:tcPr>
                <w:p>
                  <w:pPr>
                    <w:autoSpaceDE w:val="0"/>
                    <w:autoSpaceDN w:val="0"/>
                    <w:contextualSpacing/>
                    <w:jc w:val="center"/>
                    <w:rPr>
                      <w:color w:val="auto"/>
                      <w:szCs w:val="21"/>
                    </w:rPr>
                  </w:pPr>
                  <w:r>
                    <w:rPr>
                      <w:rFonts w:hint="eastAsia"/>
                      <w:color w:val="auto"/>
                      <w:szCs w:val="21"/>
                    </w:rPr>
                    <w:t>秸秆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661" w:type="pct"/>
                  <w:noWrap w:val="0"/>
                  <w:vAlign w:val="center"/>
                </w:tcPr>
                <w:p>
                  <w:pPr>
                    <w:autoSpaceDE w:val="0"/>
                    <w:autoSpaceDN w:val="0"/>
                    <w:contextualSpacing/>
                    <w:jc w:val="center"/>
                    <w:rPr>
                      <w:color w:val="auto"/>
                      <w:szCs w:val="21"/>
                    </w:rPr>
                  </w:pPr>
                  <w:r>
                    <w:rPr>
                      <w:rFonts w:hint="eastAsia"/>
                      <w:color w:val="auto"/>
                      <w:szCs w:val="21"/>
                    </w:rPr>
                    <w:t>A</w:t>
                  </w:r>
                  <w:r>
                    <w:rPr>
                      <w:rFonts w:hint="eastAsia"/>
                      <w:color w:val="auto"/>
                      <w:szCs w:val="21"/>
                      <w:vertAlign w:val="subscript"/>
                    </w:rPr>
                    <w:t>ar</w:t>
                  </w:r>
                </w:p>
              </w:tc>
              <w:tc>
                <w:tcPr>
                  <w:tcW w:w="583" w:type="pct"/>
                  <w:noWrap w:val="0"/>
                  <w:vAlign w:val="center"/>
                </w:tcPr>
                <w:p>
                  <w:pPr>
                    <w:contextualSpacing/>
                    <w:jc w:val="center"/>
                    <w:rPr>
                      <w:color w:val="auto"/>
                      <w:szCs w:val="21"/>
                    </w:rPr>
                  </w:pPr>
                  <w:r>
                    <w:rPr>
                      <w:rFonts w:hint="eastAsia"/>
                      <w:color w:val="auto"/>
                      <w:szCs w:val="21"/>
                    </w:rPr>
                    <w:t>6.48%</w:t>
                  </w:r>
                </w:p>
              </w:tc>
              <w:tc>
                <w:tcPr>
                  <w:tcW w:w="935" w:type="pct"/>
                  <w:gridSpan w:val="4"/>
                  <w:noWrap w:val="0"/>
                  <w:vAlign w:val="center"/>
                </w:tcPr>
                <w:p>
                  <w:pPr>
                    <w:contextualSpacing/>
                    <w:jc w:val="center"/>
                    <w:rPr>
                      <w:color w:val="auto"/>
                      <w:szCs w:val="21"/>
                    </w:rPr>
                  </w:pPr>
                  <w:r>
                    <w:rPr>
                      <w:rFonts w:hint="eastAsia"/>
                      <w:color w:val="auto"/>
                      <w:szCs w:val="21"/>
                    </w:rPr>
                    <w:t>M</w:t>
                  </w:r>
                  <w:r>
                    <w:rPr>
                      <w:rFonts w:hint="eastAsia"/>
                      <w:color w:val="auto"/>
                      <w:szCs w:val="21"/>
                      <w:vertAlign w:val="subscript"/>
                    </w:rPr>
                    <w:t>ad</w:t>
                  </w:r>
                </w:p>
              </w:tc>
              <w:tc>
                <w:tcPr>
                  <w:tcW w:w="760" w:type="pct"/>
                  <w:gridSpan w:val="3"/>
                  <w:noWrap w:val="0"/>
                  <w:vAlign w:val="center"/>
                </w:tcPr>
                <w:p>
                  <w:pPr>
                    <w:contextualSpacing/>
                    <w:jc w:val="center"/>
                    <w:rPr>
                      <w:color w:val="auto"/>
                      <w:szCs w:val="21"/>
                    </w:rPr>
                  </w:pPr>
                  <w:r>
                    <w:rPr>
                      <w:rFonts w:hint="eastAsia"/>
                      <w:color w:val="auto"/>
                      <w:szCs w:val="21"/>
                    </w:rPr>
                    <w:t>4.02%</w:t>
                  </w:r>
                </w:p>
              </w:tc>
              <w:tc>
                <w:tcPr>
                  <w:tcW w:w="736" w:type="pct"/>
                  <w:gridSpan w:val="3"/>
                  <w:noWrap w:val="0"/>
                  <w:vAlign w:val="center"/>
                </w:tcPr>
                <w:p>
                  <w:pPr>
                    <w:autoSpaceDE w:val="0"/>
                    <w:autoSpaceDN w:val="0"/>
                    <w:contextualSpacing/>
                    <w:jc w:val="center"/>
                    <w:rPr>
                      <w:color w:val="auto"/>
                      <w:szCs w:val="21"/>
                    </w:rPr>
                  </w:pPr>
                  <w:r>
                    <w:rPr>
                      <w:rFonts w:hint="eastAsia"/>
                      <w:color w:val="auto"/>
                      <w:szCs w:val="21"/>
                    </w:rPr>
                    <w:t>S</w:t>
                  </w:r>
                  <w:r>
                    <w:rPr>
                      <w:rFonts w:hint="eastAsia"/>
                      <w:color w:val="auto"/>
                      <w:szCs w:val="21"/>
                      <w:vertAlign w:val="subscript"/>
                    </w:rPr>
                    <w:t>t,ar</w:t>
                  </w:r>
                </w:p>
              </w:tc>
              <w:tc>
                <w:tcPr>
                  <w:tcW w:w="1325" w:type="pct"/>
                  <w:gridSpan w:val="4"/>
                  <w:noWrap w:val="0"/>
                  <w:vAlign w:val="center"/>
                </w:tcPr>
                <w:p>
                  <w:pPr>
                    <w:autoSpaceDE w:val="0"/>
                    <w:autoSpaceDN w:val="0"/>
                    <w:contextualSpacing/>
                    <w:jc w:val="center"/>
                    <w:rPr>
                      <w:color w:val="auto"/>
                      <w:szCs w:val="21"/>
                    </w:rPr>
                  </w:pPr>
                  <w:r>
                    <w:rPr>
                      <w:rFonts w:hint="eastAsia"/>
                      <w:color w:val="auto"/>
                      <w:szCs w:val="21"/>
                    </w:rPr>
                    <w:t>0.07%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1" w:type="pct"/>
                  <w:noWrap w:val="0"/>
                  <w:vAlign w:val="center"/>
                </w:tcPr>
                <w:p>
                  <w:pPr>
                    <w:autoSpaceDE w:val="0"/>
                    <w:autoSpaceDN w:val="0"/>
                    <w:contextualSpacing/>
                    <w:jc w:val="center"/>
                    <w:rPr>
                      <w:color w:val="auto"/>
                      <w:szCs w:val="21"/>
                    </w:rPr>
                  </w:pPr>
                  <w:r>
                    <w:rPr>
                      <w:rFonts w:hint="eastAsia"/>
                      <w:color w:val="auto"/>
                      <w:szCs w:val="21"/>
                    </w:rPr>
                    <w:t>M</w:t>
                  </w:r>
                  <w:r>
                    <w:rPr>
                      <w:rFonts w:hint="eastAsia"/>
                      <w:color w:val="auto"/>
                      <w:szCs w:val="21"/>
                      <w:vertAlign w:val="subscript"/>
                    </w:rPr>
                    <w:t>ad</w:t>
                  </w:r>
                </w:p>
              </w:tc>
              <w:tc>
                <w:tcPr>
                  <w:tcW w:w="583" w:type="pct"/>
                  <w:noWrap w:val="0"/>
                  <w:vAlign w:val="center"/>
                </w:tcPr>
                <w:p>
                  <w:pPr>
                    <w:contextualSpacing/>
                    <w:jc w:val="center"/>
                    <w:rPr>
                      <w:color w:val="auto"/>
                      <w:szCs w:val="21"/>
                    </w:rPr>
                  </w:pPr>
                  <w:r>
                    <w:rPr>
                      <w:rFonts w:hint="eastAsia"/>
                      <w:color w:val="auto"/>
                      <w:szCs w:val="21"/>
                    </w:rPr>
                    <w:t>4.02%</w:t>
                  </w:r>
                </w:p>
              </w:tc>
              <w:tc>
                <w:tcPr>
                  <w:tcW w:w="587" w:type="pct"/>
                  <w:gridSpan w:val="2"/>
                  <w:noWrap w:val="0"/>
                  <w:vAlign w:val="center"/>
                </w:tcPr>
                <w:p>
                  <w:pPr>
                    <w:contextualSpacing/>
                    <w:jc w:val="center"/>
                    <w:rPr>
                      <w:color w:val="auto"/>
                      <w:szCs w:val="21"/>
                    </w:rPr>
                  </w:pPr>
                  <w:r>
                    <w:rPr>
                      <w:rFonts w:hint="eastAsia"/>
                      <w:color w:val="auto"/>
                      <w:szCs w:val="21"/>
                    </w:rPr>
                    <w:t>挥发分</w:t>
                  </w:r>
                </w:p>
              </w:tc>
              <w:tc>
                <w:tcPr>
                  <w:tcW w:w="693" w:type="pct"/>
                  <w:gridSpan w:val="3"/>
                  <w:noWrap w:val="0"/>
                  <w:vAlign w:val="center"/>
                </w:tcPr>
                <w:p>
                  <w:pPr>
                    <w:contextualSpacing/>
                    <w:jc w:val="center"/>
                    <w:rPr>
                      <w:color w:val="auto"/>
                      <w:szCs w:val="21"/>
                    </w:rPr>
                  </w:pPr>
                  <w:r>
                    <w:rPr>
                      <w:rFonts w:hint="eastAsia"/>
                      <w:color w:val="auto"/>
                      <w:szCs w:val="21"/>
                    </w:rPr>
                    <w:t>-</w:t>
                  </w:r>
                </w:p>
              </w:tc>
              <w:tc>
                <w:tcPr>
                  <w:tcW w:w="590" w:type="pct"/>
                  <w:gridSpan w:val="3"/>
                  <w:noWrap w:val="0"/>
                  <w:vAlign w:val="center"/>
                </w:tcPr>
                <w:p>
                  <w:pPr>
                    <w:autoSpaceDE w:val="0"/>
                    <w:autoSpaceDN w:val="0"/>
                    <w:contextualSpacing/>
                    <w:jc w:val="center"/>
                    <w:rPr>
                      <w:color w:val="auto"/>
                      <w:szCs w:val="21"/>
                    </w:rPr>
                  </w:pPr>
                  <w:r>
                    <w:rPr>
                      <w:rFonts w:hint="eastAsia"/>
                      <w:color w:val="auto"/>
                      <w:szCs w:val="21"/>
                    </w:rPr>
                    <w:t>灰分</w:t>
                  </w:r>
                </w:p>
              </w:tc>
              <w:tc>
                <w:tcPr>
                  <w:tcW w:w="560" w:type="pct"/>
                  <w:gridSpan w:val="2"/>
                  <w:noWrap w:val="0"/>
                  <w:vAlign w:val="center"/>
                </w:tcPr>
                <w:p>
                  <w:pPr>
                    <w:autoSpaceDE w:val="0"/>
                    <w:autoSpaceDN w:val="0"/>
                    <w:contextualSpacing/>
                    <w:jc w:val="center"/>
                    <w:rPr>
                      <w:color w:val="auto"/>
                      <w:szCs w:val="21"/>
                    </w:rPr>
                  </w:pPr>
                  <w:r>
                    <w:rPr>
                      <w:rFonts w:hint="eastAsia"/>
                      <w:color w:val="auto"/>
                      <w:szCs w:val="21"/>
                    </w:rPr>
                    <w:t>-</w:t>
                  </w:r>
                </w:p>
              </w:tc>
              <w:tc>
                <w:tcPr>
                  <w:tcW w:w="661" w:type="pct"/>
                  <w:gridSpan w:val="2"/>
                  <w:noWrap w:val="0"/>
                  <w:vAlign w:val="center"/>
                </w:tcPr>
                <w:p>
                  <w:pPr>
                    <w:autoSpaceDE w:val="0"/>
                    <w:autoSpaceDN w:val="0"/>
                    <w:contextualSpacing/>
                    <w:jc w:val="center"/>
                    <w:rPr>
                      <w:color w:val="auto"/>
                      <w:szCs w:val="21"/>
                    </w:rPr>
                  </w:pPr>
                  <w:r>
                    <w:rPr>
                      <w:rFonts w:hint="eastAsia"/>
                      <w:color w:val="auto"/>
                      <w:szCs w:val="21"/>
                    </w:rPr>
                    <w:t>焦渣特性</w:t>
                  </w:r>
                </w:p>
              </w:tc>
              <w:tc>
                <w:tcPr>
                  <w:tcW w:w="664" w:type="pct"/>
                  <w:gridSpan w:val="2"/>
                  <w:noWrap w:val="0"/>
                  <w:vAlign w:val="center"/>
                </w:tcPr>
                <w:p>
                  <w:pPr>
                    <w:autoSpaceDE w:val="0"/>
                    <w:autoSpaceDN w:val="0"/>
                    <w:contextualSpacing/>
                    <w:jc w:val="center"/>
                    <w:rPr>
                      <w:color w:val="auto"/>
                      <w:szCs w:val="21"/>
                    </w:rPr>
                  </w:pPr>
                  <w:r>
                    <w:rPr>
                      <w:rFonts w:hint="eastAsia"/>
                      <w:color w:val="auto"/>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1" w:type="pct"/>
                  <w:noWrap w:val="0"/>
                  <w:vAlign w:val="center"/>
                </w:tcPr>
                <w:p>
                  <w:pPr>
                    <w:autoSpaceDE w:val="0"/>
                    <w:autoSpaceDN w:val="0"/>
                    <w:contextualSpacing/>
                    <w:jc w:val="center"/>
                    <w:rPr>
                      <w:color w:val="auto"/>
                      <w:szCs w:val="21"/>
                    </w:rPr>
                  </w:pPr>
                  <w:r>
                    <w:rPr>
                      <w:rFonts w:hint="eastAsia"/>
                      <w:color w:val="auto"/>
                      <w:szCs w:val="21"/>
                    </w:rPr>
                    <w:t>热值</w:t>
                  </w:r>
                </w:p>
              </w:tc>
              <w:tc>
                <w:tcPr>
                  <w:tcW w:w="581" w:type="pct"/>
                  <w:noWrap w:val="0"/>
                  <w:vAlign w:val="center"/>
                </w:tcPr>
                <w:p>
                  <w:pPr>
                    <w:contextualSpacing/>
                    <w:jc w:val="center"/>
                    <w:rPr>
                      <w:color w:val="auto"/>
                      <w:szCs w:val="21"/>
                    </w:rPr>
                  </w:pPr>
                  <w:r>
                    <w:rPr>
                      <w:rFonts w:hint="eastAsia"/>
                      <w:color w:val="auto"/>
                      <w:szCs w:val="21"/>
                    </w:rPr>
                    <w:t>Q</w:t>
                  </w:r>
                  <w:r>
                    <w:rPr>
                      <w:rFonts w:hint="eastAsia"/>
                      <w:color w:val="auto"/>
                      <w:szCs w:val="21"/>
                      <w:vertAlign w:val="subscript"/>
                    </w:rPr>
                    <w:t>gr,d</w:t>
                  </w:r>
                </w:p>
              </w:tc>
              <w:tc>
                <w:tcPr>
                  <w:tcW w:w="1475" w:type="pct"/>
                  <w:gridSpan w:val="6"/>
                  <w:noWrap w:val="0"/>
                  <w:vAlign w:val="center"/>
                </w:tcPr>
                <w:p>
                  <w:pPr>
                    <w:contextualSpacing/>
                    <w:jc w:val="center"/>
                    <w:rPr>
                      <w:color w:val="auto"/>
                      <w:szCs w:val="21"/>
                    </w:rPr>
                  </w:pPr>
                  <w:r>
                    <w:rPr>
                      <w:rFonts w:hint="eastAsia"/>
                      <w:color w:val="auto"/>
                      <w:szCs w:val="21"/>
                    </w:rPr>
                    <w:t>16.57MJ/kg、3960cal/g</w:t>
                  </w:r>
                </w:p>
              </w:tc>
              <w:tc>
                <w:tcPr>
                  <w:tcW w:w="659" w:type="pct"/>
                  <w:gridSpan w:val="3"/>
                  <w:noWrap w:val="0"/>
                  <w:vAlign w:val="center"/>
                </w:tcPr>
                <w:p>
                  <w:pPr>
                    <w:autoSpaceDE w:val="0"/>
                    <w:autoSpaceDN w:val="0"/>
                    <w:contextualSpacing/>
                    <w:jc w:val="center"/>
                    <w:rPr>
                      <w:color w:val="auto"/>
                      <w:szCs w:val="21"/>
                    </w:rPr>
                  </w:pPr>
                  <w:r>
                    <w:rPr>
                      <w:rFonts w:hint="eastAsia"/>
                      <w:color w:val="auto"/>
                      <w:szCs w:val="21"/>
                    </w:rPr>
                    <w:t>Q</w:t>
                  </w:r>
                  <w:r>
                    <w:rPr>
                      <w:rFonts w:hint="eastAsia"/>
                      <w:color w:val="auto"/>
                      <w:szCs w:val="21"/>
                      <w:vertAlign w:val="subscript"/>
                    </w:rPr>
                    <w:t>net,ar</w:t>
                  </w:r>
                </w:p>
              </w:tc>
              <w:tc>
                <w:tcPr>
                  <w:tcW w:w="1625" w:type="pct"/>
                  <w:gridSpan w:val="5"/>
                  <w:noWrap w:val="0"/>
                  <w:vAlign w:val="center"/>
                </w:tcPr>
                <w:p>
                  <w:pPr>
                    <w:autoSpaceDE w:val="0"/>
                    <w:autoSpaceDN w:val="0"/>
                    <w:contextualSpacing/>
                    <w:jc w:val="center"/>
                    <w:rPr>
                      <w:color w:val="auto"/>
                      <w:szCs w:val="21"/>
                    </w:rPr>
                  </w:pPr>
                  <w:r>
                    <w:rPr>
                      <w:rFonts w:hint="eastAsia"/>
                      <w:color w:val="auto"/>
                      <w:szCs w:val="21"/>
                    </w:rPr>
                    <w:t>9.86MJ/kg、2356cal/g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1" w:type="pct"/>
                  <w:noWrap w:val="0"/>
                  <w:vAlign w:val="center"/>
                </w:tcPr>
                <w:p>
                  <w:pPr>
                    <w:autoSpaceDE w:val="0"/>
                    <w:autoSpaceDN w:val="0"/>
                    <w:contextualSpacing/>
                    <w:jc w:val="center"/>
                    <w:rPr>
                      <w:color w:val="auto"/>
                      <w:szCs w:val="21"/>
                    </w:rPr>
                  </w:pPr>
                  <w:r>
                    <w:rPr>
                      <w:rFonts w:hint="eastAsia"/>
                      <w:color w:val="auto"/>
                      <w:szCs w:val="21"/>
                    </w:rPr>
                    <w:t>类比元素</w:t>
                  </w:r>
                </w:p>
              </w:tc>
              <w:tc>
                <w:tcPr>
                  <w:tcW w:w="581" w:type="pct"/>
                  <w:noWrap w:val="0"/>
                  <w:vAlign w:val="center"/>
                </w:tcPr>
                <w:p>
                  <w:pPr>
                    <w:contextualSpacing/>
                    <w:jc w:val="center"/>
                    <w:rPr>
                      <w:color w:val="auto"/>
                      <w:szCs w:val="21"/>
                    </w:rPr>
                  </w:pPr>
                  <w:r>
                    <w:rPr>
                      <w:rFonts w:hint="eastAsia"/>
                      <w:color w:val="auto"/>
                      <w:szCs w:val="21"/>
                    </w:rPr>
                    <w:t>C</w:t>
                  </w:r>
                  <w:r>
                    <w:rPr>
                      <w:rFonts w:hint="eastAsia"/>
                      <w:color w:val="auto"/>
                      <w:szCs w:val="21"/>
                      <w:vertAlign w:val="subscript"/>
                    </w:rPr>
                    <w:t>ar</w:t>
                  </w:r>
                </w:p>
              </w:tc>
              <w:tc>
                <w:tcPr>
                  <w:tcW w:w="426" w:type="pct"/>
                  <w:noWrap w:val="0"/>
                  <w:vAlign w:val="center"/>
                </w:tcPr>
                <w:p>
                  <w:pPr>
                    <w:contextualSpacing/>
                    <w:jc w:val="center"/>
                    <w:rPr>
                      <w:color w:val="auto"/>
                      <w:szCs w:val="21"/>
                    </w:rPr>
                  </w:pPr>
                  <w:r>
                    <w:rPr>
                      <w:rFonts w:hint="eastAsia"/>
                      <w:color w:val="auto"/>
                      <w:szCs w:val="21"/>
                    </w:rPr>
                    <w:t>35.20%</w:t>
                  </w:r>
                </w:p>
              </w:tc>
              <w:tc>
                <w:tcPr>
                  <w:tcW w:w="462" w:type="pct"/>
                  <w:gridSpan w:val="2"/>
                  <w:noWrap w:val="0"/>
                  <w:vAlign w:val="center"/>
                </w:tcPr>
                <w:p>
                  <w:pPr>
                    <w:contextualSpacing/>
                    <w:jc w:val="center"/>
                    <w:rPr>
                      <w:color w:val="auto"/>
                      <w:szCs w:val="21"/>
                    </w:rPr>
                  </w:pPr>
                  <w:r>
                    <w:rPr>
                      <w:rFonts w:hint="eastAsia"/>
                      <w:color w:val="auto"/>
                      <w:szCs w:val="21"/>
                    </w:rPr>
                    <w:t>H</w:t>
                  </w:r>
                  <w:r>
                    <w:rPr>
                      <w:rFonts w:hint="eastAsia"/>
                      <w:color w:val="auto"/>
                      <w:szCs w:val="21"/>
                      <w:vertAlign w:val="subscript"/>
                    </w:rPr>
                    <w:t>ar</w:t>
                  </w:r>
                </w:p>
              </w:tc>
              <w:tc>
                <w:tcPr>
                  <w:tcW w:w="587" w:type="pct"/>
                  <w:gridSpan w:val="3"/>
                  <w:noWrap w:val="0"/>
                  <w:vAlign w:val="center"/>
                </w:tcPr>
                <w:p>
                  <w:pPr>
                    <w:contextualSpacing/>
                    <w:jc w:val="center"/>
                    <w:rPr>
                      <w:color w:val="auto"/>
                      <w:szCs w:val="21"/>
                    </w:rPr>
                  </w:pPr>
                  <w:r>
                    <w:rPr>
                      <w:rFonts w:hint="eastAsia"/>
                      <w:color w:val="auto"/>
                      <w:szCs w:val="21"/>
                    </w:rPr>
                    <w:t>2.41%</w:t>
                  </w:r>
                </w:p>
              </w:tc>
              <w:tc>
                <w:tcPr>
                  <w:tcW w:w="659" w:type="pct"/>
                  <w:gridSpan w:val="3"/>
                  <w:noWrap w:val="0"/>
                  <w:vAlign w:val="center"/>
                </w:tcPr>
                <w:p>
                  <w:pPr>
                    <w:autoSpaceDE w:val="0"/>
                    <w:autoSpaceDN w:val="0"/>
                    <w:contextualSpacing/>
                    <w:jc w:val="center"/>
                    <w:rPr>
                      <w:color w:val="auto"/>
                      <w:szCs w:val="21"/>
                    </w:rPr>
                  </w:pPr>
                  <w:r>
                    <w:rPr>
                      <w:rFonts w:hint="eastAsia"/>
                      <w:color w:val="auto"/>
                      <w:szCs w:val="21"/>
                    </w:rPr>
                    <w:t>N</w:t>
                  </w:r>
                  <w:r>
                    <w:rPr>
                      <w:rFonts w:hint="eastAsia"/>
                      <w:color w:val="auto"/>
                      <w:szCs w:val="21"/>
                      <w:vertAlign w:val="subscript"/>
                    </w:rPr>
                    <w:t>ar</w:t>
                  </w:r>
                </w:p>
              </w:tc>
              <w:tc>
                <w:tcPr>
                  <w:tcW w:w="514" w:type="pct"/>
                  <w:gridSpan w:val="2"/>
                  <w:noWrap w:val="0"/>
                  <w:vAlign w:val="center"/>
                </w:tcPr>
                <w:p>
                  <w:pPr>
                    <w:autoSpaceDE w:val="0"/>
                    <w:autoSpaceDN w:val="0"/>
                    <w:contextualSpacing/>
                    <w:jc w:val="center"/>
                    <w:rPr>
                      <w:color w:val="auto"/>
                      <w:szCs w:val="21"/>
                    </w:rPr>
                  </w:pPr>
                  <w:r>
                    <w:rPr>
                      <w:rFonts w:hint="eastAsia"/>
                      <w:color w:val="auto"/>
                      <w:szCs w:val="21"/>
                    </w:rPr>
                    <w:t>0.53%</w:t>
                  </w:r>
                </w:p>
              </w:tc>
              <w:tc>
                <w:tcPr>
                  <w:tcW w:w="513" w:type="pct"/>
                  <w:gridSpan w:val="2"/>
                  <w:noWrap w:val="0"/>
                  <w:vAlign w:val="center"/>
                </w:tcPr>
                <w:p>
                  <w:pPr>
                    <w:autoSpaceDE w:val="0"/>
                    <w:autoSpaceDN w:val="0"/>
                    <w:contextualSpacing/>
                    <w:jc w:val="center"/>
                    <w:rPr>
                      <w:color w:val="auto"/>
                      <w:szCs w:val="21"/>
                    </w:rPr>
                  </w:pPr>
                  <w:r>
                    <w:rPr>
                      <w:rFonts w:hint="eastAsia"/>
                      <w:color w:val="auto"/>
                      <w:szCs w:val="21"/>
                    </w:rPr>
                    <w:t>O</w:t>
                  </w:r>
                  <w:r>
                    <w:rPr>
                      <w:rFonts w:hint="eastAsia"/>
                      <w:color w:val="auto"/>
                      <w:szCs w:val="21"/>
                      <w:vertAlign w:val="subscript"/>
                    </w:rPr>
                    <w:t>ar</w:t>
                  </w:r>
                </w:p>
              </w:tc>
              <w:tc>
                <w:tcPr>
                  <w:tcW w:w="598" w:type="pct"/>
                  <w:noWrap w:val="0"/>
                  <w:vAlign w:val="center"/>
                </w:tcPr>
                <w:p>
                  <w:pPr>
                    <w:autoSpaceDE w:val="0"/>
                    <w:autoSpaceDN w:val="0"/>
                    <w:contextualSpacing/>
                    <w:jc w:val="center"/>
                    <w:rPr>
                      <w:color w:val="auto"/>
                      <w:szCs w:val="21"/>
                    </w:rPr>
                  </w:pPr>
                  <w:r>
                    <w:rPr>
                      <w:rFonts w:hint="eastAsia"/>
                      <w:color w:val="auto"/>
                      <w:szCs w:val="21"/>
                    </w:rPr>
                    <w:t>27.73%</w:t>
                  </w:r>
                </w:p>
              </w:tc>
            </w:tr>
            <w:bookmarkEnd w:id="8"/>
          </w:tbl>
          <w:p>
            <w:pPr>
              <w:spacing w:line="360" w:lineRule="auto"/>
              <w:ind w:firstLine="482" w:firstLineChars="200"/>
              <w:jc w:val="left"/>
              <w:rPr>
                <w:b/>
                <w:color w:val="auto"/>
                <w:kern w:val="0"/>
                <w:sz w:val="24"/>
              </w:rPr>
            </w:pPr>
            <w:r>
              <w:rPr>
                <w:rFonts w:hint="eastAsia"/>
                <w:b/>
                <w:color w:val="auto"/>
                <w:kern w:val="0"/>
                <w:sz w:val="24"/>
              </w:rPr>
              <w:t>4</w:t>
            </w:r>
            <w:r>
              <w:rPr>
                <w:b/>
                <w:color w:val="auto"/>
                <w:kern w:val="0"/>
                <w:sz w:val="24"/>
              </w:rPr>
              <w:t>、劳动定员及工作制度</w:t>
            </w:r>
          </w:p>
          <w:p>
            <w:pPr>
              <w:spacing w:line="360" w:lineRule="auto"/>
              <w:ind w:firstLine="480" w:firstLineChars="200"/>
              <w:jc w:val="left"/>
              <w:rPr>
                <w:bCs/>
                <w:color w:val="auto"/>
                <w:kern w:val="0"/>
                <w:sz w:val="24"/>
              </w:rPr>
            </w:pPr>
            <w:r>
              <w:rPr>
                <w:bCs/>
                <w:color w:val="auto"/>
                <w:kern w:val="0"/>
                <w:sz w:val="24"/>
              </w:rPr>
              <w:t>本项目</w:t>
            </w:r>
            <w:r>
              <w:rPr>
                <w:rFonts w:hint="eastAsia"/>
                <w:bCs/>
                <w:color w:val="auto"/>
                <w:kern w:val="0"/>
                <w:sz w:val="24"/>
              </w:rPr>
              <w:t>劳动定员4</w:t>
            </w:r>
            <w:r>
              <w:rPr>
                <w:bCs/>
                <w:color w:val="auto"/>
                <w:kern w:val="0"/>
                <w:sz w:val="24"/>
              </w:rPr>
              <w:t>人，</w:t>
            </w:r>
            <w:r>
              <w:rPr>
                <w:color w:val="auto"/>
                <w:sz w:val="24"/>
              </w:rPr>
              <w:t>锅炉年运行</w:t>
            </w:r>
            <w:r>
              <w:rPr>
                <w:rFonts w:hint="eastAsia"/>
                <w:color w:val="auto"/>
                <w:sz w:val="24"/>
              </w:rPr>
              <w:t>180天，10月中旬至次年4月中旬，2班制，每班12小时</w:t>
            </w:r>
            <w:r>
              <w:rPr>
                <w:bCs/>
                <w:color w:val="auto"/>
                <w:kern w:val="0"/>
                <w:sz w:val="24"/>
              </w:rPr>
              <w:t>。</w:t>
            </w:r>
          </w:p>
          <w:p>
            <w:pPr>
              <w:spacing w:line="360" w:lineRule="auto"/>
              <w:ind w:firstLine="482" w:firstLineChars="200"/>
              <w:jc w:val="left"/>
              <w:rPr>
                <w:b/>
                <w:color w:val="auto"/>
                <w:kern w:val="0"/>
                <w:sz w:val="24"/>
              </w:rPr>
            </w:pPr>
            <w:r>
              <w:rPr>
                <w:rFonts w:hint="eastAsia"/>
                <w:b/>
                <w:color w:val="auto"/>
                <w:kern w:val="0"/>
                <w:sz w:val="24"/>
              </w:rPr>
              <w:t>5</w:t>
            </w:r>
            <w:r>
              <w:rPr>
                <w:b/>
                <w:color w:val="auto"/>
                <w:kern w:val="0"/>
                <w:sz w:val="24"/>
              </w:rPr>
              <w:t>、公用工程</w:t>
            </w:r>
          </w:p>
          <w:p>
            <w:pPr>
              <w:spacing w:line="360" w:lineRule="auto"/>
              <w:ind w:firstLine="480" w:firstLineChars="200"/>
              <w:rPr>
                <w:color w:val="auto"/>
                <w:sz w:val="24"/>
              </w:rPr>
            </w:pPr>
            <w:r>
              <w:rPr>
                <w:color w:val="auto"/>
                <w:sz w:val="24"/>
              </w:rPr>
              <w:t>（1）供水</w:t>
            </w:r>
          </w:p>
          <w:p>
            <w:pPr>
              <w:spacing w:line="360" w:lineRule="auto"/>
              <w:ind w:firstLine="480" w:firstLineChars="200"/>
              <w:rPr>
                <w:color w:val="auto"/>
                <w:sz w:val="24"/>
              </w:rPr>
            </w:pPr>
            <w:r>
              <w:rPr>
                <w:color w:val="auto"/>
                <w:sz w:val="24"/>
              </w:rPr>
              <w:t>本项目</w:t>
            </w:r>
            <w:r>
              <w:rPr>
                <w:rFonts w:hint="eastAsia"/>
                <w:color w:val="auto"/>
                <w:sz w:val="24"/>
              </w:rPr>
              <w:t>用水主要为生活用水和生产用水，由市政自来水公司提供</w:t>
            </w:r>
            <w:r>
              <w:rPr>
                <w:color w:val="auto"/>
                <w:sz w:val="24"/>
              </w:rPr>
              <w:t>。</w:t>
            </w:r>
          </w:p>
          <w:p>
            <w:pPr>
              <w:spacing w:line="360" w:lineRule="auto"/>
              <w:ind w:firstLine="480" w:firstLineChars="200"/>
              <w:rPr>
                <w:color w:val="auto"/>
                <w:sz w:val="24"/>
              </w:rPr>
            </w:pPr>
            <w:r>
              <w:rPr>
                <w:color w:val="auto"/>
                <w:sz w:val="24"/>
              </w:rPr>
              <w:fldChar w:fldCharType="begin"/>
            </w:r>
            <w:r>
              <w:rPr>
                <w:color w:val="auto"/>
                <w:sz w:val="24"/>
              </w:rPr>
              <w:instrText xml:space="preserve"> = 1 \* GB3 </w:instrText>
            </w:r>
            <w:r>
              <w:rPr>
                <w:color w:val="auto"/>
                <w:sz w:val="24"/>
              </w:rPr>
              <w:fldChar w:fldCharType="separate"/>
            </w:r>
            <w:r>
              <w:rPr>
                <w:rFonts w:hint="eastAsia" w:ascii="宋体" w:hAnsi="宋体" w:cs="宋体"/>
                <w:color w:val="auto"/>
                <w:sz w:val="24"/>
              </w:rPr>
              <w:t>①</w:t>
            </w:r>
            <w:r>
              <w:rPr>
                <w:color w:val="auto"/>
                <w:sz w:val="24"/>
              </w:rPr>
              <w:fldChar w:fldCharType="end"/>
            </w:r>
            <w:r>
              <w:rPr>
                <w:color w:val="auto"/>
                <w:sz w:val="24"/>
              </w:rPr>
              <w:t>生活用水</w:t>
            </w:r>
          </w:p>
          <w:p>
            <w:pPr>
              <w:spacing w:line="360" w:lineRule="auto"/>
              <w:ind w:firstLine="480" w:firstLineChars="200"/>
              <w:rPr>
                <w:color w:val="auto"/>
                <w:sz w:val="24"/>
              </w:rPr>
            </w:pPr>
            <w:r>
              <w:rPr>
                <w:color w:val="auto"/>
                <w:sz w:val="24"/>
                <w:lang w:bidi="ar"/>
              </w:rPr>
              <w:t>生活用水量计算参照《建筑给水排水设计标准》（GB50015—2019），取值为30L/(人•d)</w:t>
            </w:r>
            <w:r>
              <w:rPr>
                <w:rFonts w:hint="eastAsia"/>
                <w:color w:val="auto"/>
                <w:sz w:val="24"/>
                <w:lang w:bidi="ar"/>
              </w:rPr>
              <w:t>。本项目</w:t>
            </w:r>
            <w:r>
              <w:rPr>
                <w:color w:val="auto"/>
                <w:sz w:val="24"/>
                <w:lang w:bidi="ar"/>
              </w:rPr>
              <w:t>员工人数为</w:t>
            </w:r>
            <w:r>
              <w:rPr>
                <w:rFonts w:hint="eastAsia"/>
                <w:color w:val="auto"/>
                <w:sz w:val="24"/>
                <w:lang w:bidi="ar"/>
              </w:rPr>
              <w:t>4</w:t>
            </w:r>
            <w:r>
              <w:rPr>
                <w:color w:val="auto"/>
                <w:sz w:val="24"/>
                <w:lang w:bidi="ar"/>
              </w:rPr>
              <w:t>人，因此</w:t>
            </w:r>
            <w:r>
              <w:rPr>
                <w:rFonts w:hint="eastAsia"/>
                <w:color w:val="auto"/>
                <w:sz w:val="24"/>
                <w:lang w:bidi="ar"/>
              </w:rPr>
              <w:t>，</w:t>
            </w:r>
            <w:r>
              <w:rPr>
                <w:color w:val="auto"/>
                <w:sz w:val="24"/>
                <w:lang w:bidi="ar"/>
              </w:rPr>
              <w:t>生活用水量为0.</w:t>
            </w:r>
            <w:r>
              <w:rPr>
                <w:rFonts w:hint="eastAsia"/>
                <w:color w:val="auto"/>
                <w:sz w:val="24"/>
                <w:lang w:bidi="ar"/>
              </w:rPr>
              <w:t>12</w:t>
            </w:r>
            <w:r>
              <w:rPr>
                <w:color w:val="auto"/>
                <w:sz w:val="24"/>
                <w:lang w:bidi="ar"/>
              </w:rPr>
              <w:t>t/d，</w:t>
            </w:r>
            <w:r>
              <w:rPr>
                <w:rFonts w:hint="eastAsia"/>
                <w:color w:val="auto"/>
                <w:sz w:val="24"/>
                <w:lang w:bidi="ar"/>
              </w:rPr>
              <w:t>21.6</w:t>
            </w:r>
            <w:r>
              <w:rPr>
                <w:color w:val="auto"/>
                <w:sz w:val="24"/>
                <w:lang w:bidi="ar"/>
              </w:rPr>
              <w:t>t/a。</w:t>
            </w:r>
          </w:p>
          <w:p>
            <w:pPr>
              <w:spacing w:line="360" w:lineRule="auto"/>
              <w:ind w:firstLine="480" w:firstLineChars="200"/>
              <w:contextualSpacing/>
              <w:rPr>
                <w:color w:val="auto"/>
                <w:sz w:val="24"/>
              </w:rPr>
            </w:pPr>
            <w:r>
              <w:rPr>
                <w:color w:val="auto"/>
                <w:sz w:val="24"/>
              </w:rPr>
              <w:fldChar w:fldCharType="begin"/>
            </w:r>
            <w:r>
              <w:rPr>
                <w:color w:val="auto"/>
                <w:sz w:val="24"/>
              </w:rPr>
              <w:instrText xml:space="preserve"> = 2 \* GB3 </w:instrText>
            </w:r>
            <w:r>
              <w:rPr>
                <w:color w:val="auto"/>
                <w:sz w:val="24"/>
              </w:rPr>
              <w:fldChar w:fldCharType="separate"/>
            </w:r>
            <w:r>
              <w:rPr>
                <w:rFonts w:hint="eastAsia" w:ascii="宋体" w:hAnsi="宋体" w:cs="宋体"/>
                <w:color w:val="auto"/>
                <w:sz w:val="24"/>
              </w:rPr>
              <w:t>②</w:t>
            </w:r>
            <w:r>
              <w:rPr>
                <w:color w:val="auto"/>
                <w:sz w:val="24"/>
              </w:rPr>
              <w:fldChar w:fldCharType="end"/>
            </w:r>
            <w:r>
              <w:rPr>
                <w:rFonts w:hint="eastAsia"/>
                <w:color w:val="auto"/>
                <w:sz w:val="24"/>
              </w:rPr>
              <w:t>锅炉补水</w:t>
            </w:r>
          </w:p>
          <w:p>
            <w:pPr>
              <w:spacing w:line="360" w:lineRule="auto"/>
              <w:ind w:firstLine="480" w:firstLineChars="200"/>
              <w:contextualSpacing/>
              <w:rPr>
                <w:bCs/>
                <w:color w:val="auto"/>
                <w:sz w:val="24"/>
              </w:rPr>
            </w:pPr>
            <w:r>
              <w:rPr>
                <w:rFonts w:hint="eastAsia"/>
                <w:color w:val="auto"/>
                <w:sz w:val="24"/>
              </w:rPr>
              <w:t>锅炉用水：</w:t>
            </w:r>
            <w:r>
              <w:rPr>
                <w:rFonts w:hint="eastAsia"/>
                <w:bCs/>
                <w:color w:val="auto"/>
                <w:sz w:val="24"/>
              </w:rPr>
              <w:t>根据</w:t>
            </w:r>
            <w:r>
              <w:rPr>
                <w:rFonts w:hint="eastAsia"/>
                <w:color w:val="auto"/>
                <w:sz w:val="24"/>
              </w:rPr>
              <w:t>《</w:t>
            </w:r>
            <w:r>
              <w:rPr>
                <w:rFonts w:hint="eastAsia"/>
                <w:bCs/>
                <w:color w:val="auto"/>
                <w:sz w:val="24"/>
              </w:rPr>
              <w:t>排放源统计调查产排污核算方法和系数手册</w:t>
            </w:r>
            <w:r>
              <w:rPr>
                <w:rFonts w:hint="eastAsia"/>
                <w:color w:val="auto"/>
                <w:sz w:val="24"/>
              </w:rPr>
              <w:t>》</w:t>
            </w:r>
            <w:r>
              <w:rPr>
                <w:bCs/>
                <w:color w:val="auto"/>
                <w:sz w:val="24"/>
              </w:rPr>
              <w:t>工业锅炉（热力生产和供应行业）产排污系数，</w:t>
            </w:r>
            <w:r>
              <w:rPr>
                <w:rFonts w:hint="eastAsia"/>
                <w:bCs/>
                <w:color w:val="auto"/>
                <w:sz w:val="24"/>
              </w:rPr>
              <w:t>生物质锅炉锅外水处理软化处理废水及锅炉定排水产污系数为0.356吨/吨-原料。燃烧生物质量为5515t/a，经计算废水量为10.9t/d，1962.6t/a；供热管网的水分损失率约为锅炉补充水量的2%，因此供热管网补充水量为0.22t/d，39.3t/a。锅炉总用水量为11.12t/d，2001.9t/a。</w:t>
            </w:r>
          </w:p>
          <w:p>
            <w:pPr>
              <w:widowControl/>
              <w:spacing w:line="360" w:lineRule="auto"/>
              <w:ind w:firstLine="480" w:firstLineChars="200"/>
              <w:rPr>
                <w:color w:val="auto"/>
                <w:sz w:val="24"/>
              </w:rPr>
            </w:pPr>
            <w:r>
              <w:rPr>
                <w:color w:val="auto"/>
                <w:sz w:val="24"/>
              </w:rPr>
              <w:t>（2）排水工程</w:t>
            </w:r>
          </w:p>
          <w:p>
            <w:pPr>
              <w:widowControl/>
              <w:spacing w:line="360" w:lineRule="auto"/>
              <w:ind w:firstLine="480" w:firstLineChars="200"/>
              <w:rPr>
                <w:color w:val="auto"/>
                <w:sz w:val="24"/>
              </w:rPr>
            </w:pPr>
            <w:r>
              <w:rPr>
                <w:color w:val="auto"/>
                <w:sz w:val="24"/>
              </w:rPr>
              <w:fldChar w:fldCharType="begin"/>
            </w:r>
            <w:r>
              <w:rPr>
                <w:color w:val="auto"/>
                <w:sz w:val="24"/>
              </w:rPr>
              <w:instrText xml:space="preserve"> = 1 \* GB3 </w:instrText>
            </w:r>
            <w:r>
              <w:rPr>
                <w:color w:val="auto"/>
                <w:sz w:val="24"/>
              </w:rPr>
              <w:fldChar w:fldCharType="separate"/>
            </w:r>
            <w:r>
              <w:rPr>
                <w:rFonts w:hint="eastAsia" w:ascii="宋体" w:hAnsi="宋体" w:cs="宋体"/>
                <w:color w:val="auto"/>
                <w:sz w:val="24"/>
              </w:rPr>
              <w:t>①</w:t>
            </w:r>
            <w:r>
              <w:rPr>
                <w:color w:val="auto"/>
                <w:sz w:val="24"/>
              </w:rPr>
              <w:fldChar w:fldCharType="end"/>
            </w:r>
            <w:r>
              <w:rPr>
                <w:color w:val="auto"/>
                <w:sz w:val="24"/>
              </w:rPr>
              <w:t>生活污水</w:t>
            </w:r>
          </w:p>
          <w:p>
            <w:pPr>
              <w:widowControl/>
              <w:spacing w:line="360" w:lineRule="auto"/>
              <w:ind w:firstLine="480" w:firstLineChars="200"/>
              <w:rPr>
                <w:color w:val="auto"/>
                <w:kern w:val="0"/>
                <w:sz w:val="24"/>
              </w:rPr>
            </w:pPr>
            <w:r>
              <w:rPr>
                <w:color w:val="auto"/>
                <w:kern w:val="0"/>
                <w:sz w:val="24"/>
              </w:rPr>
              <w:t>本项目产生的生活污水按生活用水量的80%计算，生活污水产生量为</w:t>
            </w:r>
            <w:r>
              <w:rPr>
                <w:color w:val="auto"/>
                <w:sz w:val="24"/>
              </w:rPr>
              <w:t>0.</w:t>
            </w:r>
            <w:r>
              <w:rPr>
                <w:rFonts w:hint="eastAsia"/>
                <w:color w:val="auto"/>
                <w:sz w:val="24"/>
              </w:rPr>
              <w:t>1</w:t>
            </w:r>
            <w:r>
              <w:rPr>
                <w:color w:val="auto"/>
                <w:sz w:val="24"/>
              </w:rPr>
              <w:t>t/d，</w:t>
            </w:r>
            <w:r>
              <w:rPr>
                <w:rFonts w:hint="eastAsia"/>
                <w:color w:val="auto"/>
                <w:sz w:val="24"/>
              </w:rPr>
              <w:t>18</w:t>
            </w:r>
            <w:r>
              <w:rPr>
                <w:color w:val="auto"/>
                <w:sz w:val="24"/>
              </w:rPr>
              <w:t>t/a</w:t>
            </w:r>
            <w:r>
              <w:rPr>
                <w:color w:val="auto"/>
                <w:kern w:val="0"/>
                <w:sz w:val="24"/>
              </w:rPr>
              <w:t>。</w:t>
            </w:r>
            <w:r>
              <w:rPr>
                <w:rFonts w:hint="eastAsia"/>
                <w:color w:val="auto"/>
                <w:kern w:val="0"/>
                <w:sz w:val="24"/>
              </w:rPr>
              <w:t>依托附近公用防渗旱厕，定期清掏，外运堆肥，不外排。</w:t>
            </w:r>
          </w:p>
          <w:p>
            <w:pPr>
              <w:widowControl/>
              <w:spacing w:line="360" w:lineRule="auto"/>
              <w:ind w:firstLine="480" w:firstLineChars="200"/>
              <w:rPr>
                <w:color w:val="auto"/>
                <w:sz w:val="24"/>
              </w:rPr>
            </w:pPr>
            <w:r>
              <w:rPr>
                <w:color w:val="auto"/>
                <w:sz w:val="24"/>
              </w:rPr>
              <w:fldChar w:fldCharType="begin"/>
            </w:r>
            <w:r>
              <w:rPr>
                <w:color w:val="auto"/>
                <w:sz w:val="24"/>
              </w:rPr>
              <w:instrText xml:space="preserve"> = 2 \* GB3 </w:instrText>
            </w:r>
            <w:r>
              <w:rPr>
                <w:color w:val="auto"/>
                <w:sz w:val="24"/>
              </w:rPr>
              <w:fldChar w:fldCharType="separate"/>
            </w:r>
            <w:r>
              <w:rPr>
                <w:rFonts w:hint="eastAsia" w:ascii="宋体" w:hAnsi="宋体" w:cs="宋体"/>
                <w:color w:val="auto"/>
                <w:sz w:val="24"/>
              </w:rPr>
              <w:t>②</w:t>
            </w:r>
            <w:r>
              <w:rPr>
                <w:color w:val="auto"/>
                <w:sz w:val="24"/>
              </w:rPr>
              <w:fldChar w:fldCharType="end"/>
            </w:r>
            <w:r>
              <w:rPr>
                <w:color w:val="auto"/>
                <w:sz w:val="24"/>
              </w:rPr>
              <w:t>生产废水</w:t>
            </w:r>
          </w:p>
          <w:p>
            <w:pPr>
              <w:widowControl/>
              <w:spacing w:line="360" w:lineRule="auto"/>
              <w:ind w:firstLine="480" w:firstLineChars="200"/>
              <w:rPr>
                <w:rFonts w:hint="eastAsia"/>
                <w:bCs/>
                <w:color w:val="auto"/>
                <w:sz w:val="24"/>
                <w:highlight w:val="yellow"/>
              </w:rPr>
            </w:pPr>
            <w:r>
              <w:rPr>
                <w:rFonts w:hint="eastAsia"/>
                <w:bCs/>
                <w:color w:val="auto"/>
                <w:sz w:val="24"/>
              </w:rPr>
              <w:t>根据</w:t>
            </w:r>
            <w:r>
              <w:rPr>
                <w:rFonts w:hint="eastAsia"/>
                <w:color w:val="auto"/>
                <w:sz w:val="24"/>
              </w:rPr>
              <w:t>《</w:t>
            </w:r>
            <w:r>
              <w:rPr>
                <w:rFonts w:hint="eastAsia"/>
                <w:bCs/>
                <w:color w:val="auto"/>
                <w:sz w:val="24"/>
              </w:rPr>
              <w:t>排放源统计调查产排污核算方法和系数手册</w:t>
            </w:r>
            <w:r>
              <w:rPr>
                <w:rFonts w:hint="eastAsia"/>
                <w:color w:val="auto"/>
                <w:sz w:val="24"/>
              </w:rPr>
              <w:t>》</w:t>
            </w:r>
            <w:r>
              <w:rPr>
                <w:bCs/>
                <w:color w:val="auto"/>
                <w:sz w:val="24"/>
              </w:rPr>
              <w:t>工业锅炉（热力生产和供应行业）产排污系数，</w:t>
            </w:r>
            <w:r>
              <w:rPr>
                <w:rFonts w:hint="eastAsia"/>
                <w:bCs/>
                <w:color w:val="auto"/>
                <w:sz w:val="24"/>
              </w:rPr>
              <w:t>生物质锅炉锅外水处理软化处理废水及锅炉定排水产污系数为0.356吨/吨-原料。燃烧生物质量为5515t/a，经计算废水量为10.9t/d，1962.6t/a</w:t>
            </w:r>
            <w:r>
              <w:rPr>
                <w:color w:val="auto"/>
                <w:kern w:val="0"/>
                <w:sz w:val="24"/>
              </w:rPr>
              <w:t xml:space="preserve"> 。本项目</w:t>
            </w:r>
            <w:r>
              <w:rPr>
                <w:rFonts w:hint="eastAsia"/>
                <w:bCs/>
                <w:color w:val="auto"/>
                <w:sz w:val="24"/>
              </w:rPr>
              <w:t>软化处理废水及锅炉排污水用于湿式除渣及锅炉房洒水抑尘，不外排</w:t>
            </w:r>
            <w:r>
              <w:rPr>
                <w:color w:val="auto"/>
                <w:kern w:val="0"/>
                <w:sz w:val="24"/>
              </w:rPr>
              <w:t>。</w:t>
            </w:r>
          </w:p>
          <w:p>
            <w:pPr>
              <w:widowControl/>
              <w:spacing w:line="360" w:lineRule="auto"/>
              <w:ind w:firstLine="480" w:firstLineChars="200"/>
              <w:rPr>
                <w:rFonts w:hint="eastAsia"/>
                <w:color w:val="auto"/>
                <w:kern w:val="0"/>
                <w:sz w:val="24"/>
              </w:rPr>
            </w:pPr>
          </w:p>
          <w:p>
            <w:pPr>
              <w:widowControl/>
              <w:spacing w:line="360" w:lineRule="auto"/>
              <w:ind w:firstLine="480" w:firstLineChars="200"/>
              <w:rPr>
                <w:rFonts w:hint="eastAsia"/>
                <w:color w:val="auto"/>
                <w:kern w:val="0"/>
                <w:sz w:val="24"/>
              </w:rPr>
            </w:pPr>
          </w:p>
          <w:p>
            <w:pPr>
              <w:widowControl/>
              <w:spacing w:line="360" w:lineRule="auto"/>
              <w:ind w:firstLine="480" w:firstLineChars="200"/>
              <w:rPr>
                <w:rFonts w:hint="eastAsia"/>
                <w:color w:val="auto"/>
                <w:kern w:val="0"/>
                <w:sz w:val="24"/>
              </w:rPr>
            </w:pPr>
          </w:p>
          <w:p>
            <w:pPr>
              <w:widowControl/>
              <w:spacing w:line="360" w:lineRule="auto"/>
              <w:ind w:firstLine="480" w:firstLineChars="200"/>
              <w:rPr>
                <w:rFonts w:hint="eastAsia"/>
                <w:color w:val="auto"/>
                <w:kern w:val="0"/>
                <w:sz w:val="24"/>
              </w:rPr>
            </w:pPr>
          </w:p>
          <w:p>
            <w:pPr>
              <w:widowControl/>
              <w:spacing w:line="360" w:lineRule="auto"/>
              <w:ind w:firstLine="480" w:firstLineChars="200"/>
              <w:rPr>
                <w:rFonts w:hint="eastAsia"/>
                <w:color w:val="auto"/>
                <w:kern w:val="0"/>
                <w:sz w:val="24"/>
              </w:rPr>
            </w:pPr>
          </w:p>
          <w:p>
            <w:pPr>
              <w:widowControl/>
              <w:spacing w:line="360" w:lineRule="auto"/>
              <w:ind w:firstLine="480" w:firstLineChars="200"/>
              <w:rPr>
                <w:rFonts w:hint="eastAsia"/>
                <w:color w:val="auto"/>
                <w:kern w:val="0"/>
                <w:sz w:val="24"/>
              </w:rPr>
            </w:pPr>
          </w:p>
          <w:p>
            <w:pPr>
              <w:widowControl/>
              <w:spacing w:line="360" w:lineRule="auto"/>
              <w:ind w:firstLine="480" w:firstLineChars="200"/>
              <w:rPr>
                <w:rFonts w:hint="eastAsia"/>
                <w:color w:val="auto"/>
                <w:kern w:val="0"/>
                <w:sz w:val="24"/>
              </w:rPr>
            </w:pPr>
          </w:p>
          <w:p>
            <w:pPr>
              <w:widowControl/>
              <w:spacing w:line="360" w:lineRule="auto"/>
              <w:ind w:firstLine="480" w:firstLineChars="200"/>
              <w:rPr>
                <w:rFonts w:hint="eastAsia"/>
                <w:color w:val="auto"/>
                <w:kern w:val="0"/>
                <w:sz w:val="24"/>
              </w:rPr>
            </w:pPr>
          </w:p>
          <w:p>
            <w:pPr>
              <w:widowControl/>
              <w:spacing w:line="360" w:lineRule="auto"/>
              <w:ind w:firstLine="480" w:firstLineChars="200"/>
              <w:rPr>
                <w:rFonts w:hint="eastAsia"/>
                <w:color w:val="auto"/>
                <w:kern w:val="0"/>
                <w:sz w:val="24"/>
              </w:rPr>
            </w:pPr>
          </w:p>
          <w:p>
            <w:pPr>
              <w:widowControl/>
              <w:spacing w:line="360" w:lineRule="auto"/>
              <w:rPr>
                <w:color w:val="auto"/>
                <w:kern w:val="0"/>
                <w:sz w:val="24"/>
              </w:rPr>
            </w:pPr>
            <w:r>
              <w:rPr>
                <w:rFonts w:hint="eastAsia"/>
                <w:color w:val="auto"/>
                <w:kern w:val="0"/>
                <w:sz w:val="24"/>
              </w:rPr>
              <w:t xml:space="preserve"> </w:t>
            </w:r>
            <w:r>
              <w:rPr>
                <w:color w:val="auto"/>
                <w:kern w:val="0"/>
                <w:sz w:val="24"/>
              </w:rPr>
              <mc:AlternateContent>
                <mc:Choice Requires="wpc">
                  <w:drawing>
                    <wp:inline distT="0" distB="0" distL="114300" distR="114300">
                      <wp:extent cx="5025390" cy="2853690"/>
                      <wp:effectExtent l="0" t="0" r="0" b="10795"/>
                      <wp:docPr id="95" name="画布 9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文本框 3"/>
                              <wps:cNvSpPr txBox="1"/>
                              <wps:spPr>
                                <a:xfrm>
                                  <a:off x="70485" y="895985"/>
                                  <a:ext cx="604520" cy="2730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新鲜水</w:t>
                                    </w:r>
                                  </w:p>
                                </w:txbxContent>
                              </wps:txbx>
                              <wps:bodyPr upright="1"/>
                            </wps:wsp>
                            <wps:wsp>
                              <wps:cNvPr id="4" name="文本框 4"/>
                              <wps:cNvSpPr txBox="1"/>
                              <wps:spPr>
                                <a:xfrm>
                                  <a:off x="1515745" y="1194435"/>
                                  <a:ext cx="1042670" cy="458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软化水制备装置</w:t>
                                    </w:r>
                                  </w:p>
                                </w:txbxContent>
                              </wps:txbx>
                              <wps:bodyPr upright="1"/>
                            </wps:wsp>
                            <wps:wsp>
                              <wps:cNvPr id="5" name="文本框 5"/>
                              <wps:cNvSpPr txBox="1"/>
                              <wps:spPr>
                                <a:xfrm>
                                  <a:off x="2853690" y="1303655"/>
                                  <a:ext cx="797560" cy="273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热水锅炉</w:t>
                                    </w:r>
                                  </w:p>
                                </w:txbxContent>
                              </wps:txbx>
                              <wps:bodyPr upright="1"/>
                            </wps:wsp>
                            <wps:wsp>
                              <wps:cNvPr id="6" name="文本框 6"/>
                              <wps:cNvSpPr txBox="1"/>
                              <wps:spPr>
                                <a:xfrm>
                                  <a:off x="4013200" y="1303655"/>
                                  <a:ext cx="797560" cy="273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供热管网</w:t>
                                    </w:r>
                                  </w:p>
                                </w:txbxContent>
                              </wps:txbx>
                              <wps:bodyPr upright="1"/>
                            </wps:wsp>
                            <wps:wsp>
                              <wps:cNvPr id="7" name="直接箭头连接符 7"/>
                              <wps:cNvCnPr/>
                              <wps:spPr>
                                <a:xfrm>
                                  <a:off x="678180" y="1018540"/>
                                  <a:ext cx="464185" cy="635"/>
                                </a:xfrm>
                                <a:prstGeom prst="straightConnector1">
                                  <a:avLst/>
                                </a:prstGeom>
                                <a:ln w="9525" cap="flat" cmpd="sng">
                                  <a:solidFill>
                                    <a:srgbClr val="000000"/>
                                  </a:solidFill>
                                  <a:prstDash val="solid"/>
                                  <a:headEnd type="none" w="med" len="med"/>
                                  <a:tailEnd type="triangle" w="med" len="med"/>
                                </a:ln>
                              </wps:spPr>
                              <wps:bodyPr/>
                            </wps:wsp>
                            <wps:wsp>
                              <wps:cNvPr id="8" name="直接箭头连接符 8"/>
                              <wps:cNvCnPr/>
                              <wps:spPr>
                                <a:xfrm>
                                  <a:off x="2558415" y="1439545"/>
                                  <a:ext cx="295275" cy="635"/>
                                </a:xfrm>
                                <a:prstGeom prst="straightConnector1">
                                  <a:avLst/>
                                </a:prstGeom>
                                <a:ln w="9525" cap="flat" cmpd="sng">
                                  <a:solidFill>
                                    <a:srgbClr val="000000"/>
                                  </a:solidFill>
                                  <a:prstDash val="solid"/>
                                  <a:headEnd type="none" w="med" len="med"/>
                                  <a:tailEnd type="triangle" w="med" len="med"/>
                                </a:ln>
                              </wps:spPr>
                              <wps:bodyPr/>
                            </wps:wsp>
                            <wps:wsp>
                              <wps:cNvPr id="36" name="文本框 36"/>
                              <wps:cNvSpPr txBox="1"/>
                              <wps:spPr>
                                <a:xfrm>
                                  <a:off x="3573780" y="1226820"/>
                                  <a:ext cx="542925" cy="273050"/>
                                </a:xfrm>
                                <a:prstGeom prst="rect">
                                  <a:avLst/>
                                </a:prstGeom>
                                <a:noFill/>
                                <a:ln>
                                  <a:noFill/>
                                </a:ln>
                              </wps:spPr>
                              <wps:txbx>
                                <w:txbxContent>
                                  <w:p>
                                    <w:r>
                                      <w:rPr>
                                        <w:rFonts w:hint="eastAsia"/>
                                      </w:rPr>
                                      <w:t>10.22</w:t>
                                    </w:r>
                                  </w:p>
                                </w:txbxContent>
                              </wps:txbx>
                              <wps:bodyPr upright="1"/>
                            </wps:wsp>
                            <wps:wsp>
                              <wps:cNvPr id="68" name="文本框 68"/>
                              <wps:cNvSpPr txBox="1"/>
                              <wps:spPr>
                                <a:xfrm>
                                  <a:off x="1515110" y="2249170"/>
                                  <a:ext cx="2078990" cy="6045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hAnsi="宋体"/>
                                        <w:szCs w:val="21"/>
                                      </w:rPr>
                                      <w:t>软化处理废水及锅炉排污水用于湿式除渣及锅炉房洒水抑尘，不外排</w:t>
                                    </w:r>
                                  </w:p>
                                </w:txbxContent>
                              </wps:txbx>
                              <wps:bodyPr upright="1"/>
                            </wps:wsp>
                            <wps:wsp>
                              <wps:cNvPr id="69" name="直接箭头连接符 69"/>
                              <wps:cNvCnPr/>
                              <wps:spPr>
                                <a:xfrm>
                                  <a:off x="2486660" y="1887220"/>
                                  <a:ext cx="635" cy="337820"/>
                                </a:xfrm>
                                <a:prstGeom prst="straightConnector1">
                                  <a:avLst/>
                                </a:prstGeom>
                                <a:ln w="9525" cap="flat" cmpd="sng">
                                  <a:solidFill>
                                    <a:srgbClr val="000000"/>
                                  </a:solidFill>
                                  <a:prstDash val="dash"/>
                                  <a:headEnd type="none" w="med" len="med"/>
                                  <a:tailEnd type="triangle" w="med" len="med"/>
                                </a:ln>
                              </wps:spPr>
                              <wps:bodyPr/>
                            </wps:wsp>
                            <wps:wsp>
                              <wps:cNvPr id="70" name="文本框 70"/>
                              <wps:cNvSpPr txBox="1"/>
                              <wps:spPr>
                                <a:xfrm>
                                  <a:off x="2069465" y="1920240"/>
                                  <a:ext cx="624840" cy="273050"/>
                                </a:xfrm>
                                <a:prstGeom prst="rect">
                                  <a:avLst/>
                                </a:prstGeom>
                                <a:noFill/>
                                <a:ln>
                                  <a:noFill/>
                                </a:ln>
                              </wps:spPr>
                              <wps:txbx>
                                <w:txbxContent>
                                  <w:p>
                                    <w:r>
                                      <w:rPr>
                                        <w:rFonts w:hint="eastAsia"/>
                                      </w:rPr>
                                      <w:t>10.9</w:t>
                                    </w:r>
                                  </w:p>
                                </w:txbxContent>
                              </wps:txbx>
                              <wps:bodyPr upright="1"/>
                            </wps:wsp>
                            <wps:wsp>
                              <wps:cNvPr id="71" name="直接箭头连接符 71"/>
                              <wps:cNvCnPr/>
                              <wps:spPr>
                                <a:xfrm>
                                  <a:off x="3665220" y="1444625"/>
                                  <a:ext cx="347980" cy="635"/>
                                </a:xfrm>
                                <a:prstGeom prst="straightConnector1">
                                  <a:avLst/>
                                </a:prstGeom>
                                <a:ln w="9525" cap="flat" cmpd="sng">
                                  <a:solidFill>
                                    <a:srgbClr val="000000"/>
                                  </a:solidFill>
                                  <a:prstDash val="solid"/>
                                  <a:headEnd type="none" w="med" len="med"/>
                                  <a:tailEnd type="triangle" w="med" len="med"/>
                                </a:ln>
                              </wps:spPr>
                              <wps:bodyPr/>
                            </wps:wsp>
                            <wps:wsp>
                              <wps:cNvPr id="72" name="直接箭头连接符 72"/>
                              <wps:cNvCnPr/>
                              <wps:spPr>
                                <a:xfrm flipV="1">
                                  <a:off x="2047875" y="1887220"/>
                                  <a:ext cx="1148715" cy="635"/>
                                </a:xfrm>
                                <a:prstGeom prst="straightConnector1">
                                  <a:avLst/>
                                </a:prstGeom>
                                <a:ln w="9525" cap="flat" cmpd="sng">
                                  <a:solidFill>
                                    <a:srgbClr val="000000"/>
                                  </a:solidFill>
                                  <a:prstDash val="dash"/>
                                  <a:headEnd type="none" w="med" len="med"/>
                                  <a:tailEnd type="none" w="med" len="med"/>
                                </a:ln>
                              </wps:spPr>
                              <wps:bodyPr/>
                            </wps:wsp>
                            <wps:wsp>
                              <wps:cNvPr id="73" name="直接箭头连接符 73"/>
                              <wps:cNvCnPr/>
                              <wps:spPr>
                                <a:xfrm flipV="1">
                                  <a:off x="2036445" y="1669415"/>
                                  <a:ext cx="635" cy="218440"/>
                                </a:xfrm>
                                <a:prstGeom prst="straightConnector1">
                                  <a:avLst/>
                                </a:prstGeom>
                                <a:ln w="9525" cap="flat" cmpd="sng">
                                  <a:solidFill>
                                    <a:srgbClr val="000000"/>
                                  </a:solidFill>
                                  <a:prstDash val="dash"/>
                                  <a:headEnd type="none" w="med" len="med"/>
                                  <a:tailEnd type="none" w="med" len="med"/>
                                </a:ln>
                              </wps:spPr>
                              <wps:bodyPr/>
                            </wps:wsp>
                            <wps:wsp>
                              <wps:cNvPr id="74" name="直接箭头连接符 74"/>
                              <wps:cNvCnPr/>
                              <wps:spPr>
                                <a:xfrm flipV="1">
                                  <a:off x="3195955" y="1576705"/>
                                  <a:ext cx="635" cy="290195"/>
                                </a:xfrm>
                                <a:prstGeom prst="straightConnector1">
                                  <a:avLst/>
                                </a:prstGeom>
                                <a:ln w="9525" cap="flat" cmpd="sng">
                                  <a:solidFill>
                                    <a:srgbClr val="000000"/>
                                  </a:solidFill>
                                  <a:prstDash val="dash"/>
                                  <a:headEnd type="none" w="med" len="med"/>
                                  <a:tailEnd type="none" w="med" len="med"/>
                                </a:ln>
                              </wps:spPr>
                              <wps:bodyPr/>
                            </wps:wsp>
                            <wps:wsp>
                              <wps:cNvPr id="75" name="直接箭头连接符 75"/>
                              <wps:cNvCnPr/>
                              <wps:spPr>
                                <a:xfrm>
                                  <a:off x="4573905" y="1576705"/>
                                  <a:ext cx="635" cy="229235"/>
                                </a:xfrm>
                                <a:prstGeom prst="straightConnector1">
                                  <a:avLst/>
                                </a:prstGeom>
                                <a:ln w="9525" cap="flat" cmpd="sng">
                                  <a:solidFill>
                                    <a:srgbClr val="000000"/>
                                  </a:solidFill>
                                  <a:prstDash val="solid"/>
                                  <a:headEnd type="none" w="med" len="med"/>
                                  <a:tailEnd type="none" w="med" len="med"/>
                                </a:ln>
                              </wps:spPr>
                              <wps:bodyPr/>
                            </wps:wsp>
                            <wps:wsp>
                              <wps:cNvPr id="76" name="直接箭头连接符 76"/>
                              <wps:cNvCnPr/>
                              <wps:spPr>
                                <a:xfrm flipH="1">
                                  <a:off x="3442335" y="1805305"/>
                                  <a:ext cx="1131570" cy="635"/>
                                </a:xfrm>
                                <a:prstGeom prst="straightConnector1">
                                  <a:avLst/>
                                </a:prstGeom>
                                <a:ln w="9525" cap="flat" cmpd="sng">
                                  <a:solidFill>
                                    <a:srgbClr val="000000"/>
                                  </a:solidFill>
                                  <a:prstDash val="solid"/>
                                  <a:headEnd type="none" w="med" len="med"/>
                                  <a:tailEnd type="none" w="med" len="med"/>
                                </a:ln>
                              </wps:spPr>
                              <wps:bodyPr/>
                            </wps:wsp>
                            <wps:wsp>
                              <wps:cNvPr id="77" name="直接箭头连接符 77"/>
                              <wps:cNvCnPr/>
                              <wps:spPr>
                                <a:xfrm flipV="1">
                                  <a:off x="3442335" y="1572260"/>
                                  <a:ext cx="635" cy="233045"/>
                                </a:xfrm>
                                <a:prstGeom prst="straightConnector1">
                                  <a:avLst/>
                                </a:prstGeom>
                                <a:ln w="9525" cap="flat" cmpd="sng">
                                  <a:solidFill>
                                    <a:srgbClr val="000000"/>
                                  </a:solidFill>
                                  <a:prstDash val="solid"/>
                                  <a:headEnd type="none" w="med" len="med"/>
                                  <a:tailEnd type="triangle" w="med" len="med"/>
                                </a:ln>
                              </wps:spPr>
                              <wps:bodyPr/>
                            </wps:wsp>
                            <wps:wsp>
                              <wps:cNvPr id="78" name="文本框 78"/>
                              <wps:cNvSpPr txBox="1"/>
                              <wps:spPr>
                                <a:xfrm>
                                  <a:off x="3836670" y="1597660"/>
                                  <a:ext cx="505460" cy="273050"/>
                                </a:xfrm>
                                <a:prstGeom prst="rect">
                                  <a:avLst/>
                                </a:prstGeom>
                                <a:noFill/>
                                <a:ln>
                                  <a:noFill/>
                                </a:ln>
                              </wps:spPr>
                              <wps:txbx>
                                <w:txbxContent>
                                  <w:p>
                                    <w:r>
                                      <w:rPr>
                                        <w:rFonts w:hint="eastAsia"/>
                                      </w:rPr>
                                      <w:t>10</w:t>
                                    </w:r>
                                  </w:p>
                                </w:txbxContent>
                              </wps:txbx>
                              <wps:bodyPr upright="1"/>
                            </wps:wsp>
                            <wps:wsp>
                              <wps:cNvPr id="79" name="文本框 79"/>
                              <wps:cNvSpPr txBox="1"/>
                              <wps:spPr>
                                <a:xfrm>
                                  <a:off x="640080" y="808990"/>
                                  <a:ext cx="624840" cy="273050"/>
                                </a:xfrm>
                                <a:prstGeom prst="rect">
                                  <a:avLst/>
                                </a:prstGeom>
                                <a:noFill/>
                                <a:ln>
                                  <a:noFill/>
                                </a:ln>
                              </wps:spPr>
                              <wps:txbx>
                                <w:txbxContent>
                                  <w:p>
                                    <w:r>
                                      <w:rPr>
                                        <w:rFonts w:hint="eastAsia"/>
                                      </w:rPr>
                                      <w:t>11.24</w:t>
                                    </w:r>
                                  </w:p>
                                </w:txbxContent>
                              </wps:txbx>
                              <wps:bodyPr upright="1"/>
                            </wps:wsp>
                            <wps:wsp>
                              <wps:cNvPr id="80" name="直接箭头连接符 80"/>
                              <wps:cNvCnPr/>
                              <wps:spPr>
                                <a:xfrm flipH="1" flipV="1">
                                  <a:off x="4362450" y="961390"/>
                                  <a:ext cx="10795" cy="332105"/>
                                </a:xfrm>
                                <a:prstGeom prst="straightConnector1">
                                  <a:avLst/>
                                </a:prstGeom>
                                <a:ln w="9525" cap="flat" cmpd="sng">
                                  <a:solidFill>
                                    <a:srgbClr val="000000"/>
                                  </a:solidFill>
                                  <a:prstDash val="dash"/>
                                  <a:headEnd type="none" w="med" len="med"/>
                                  <a:tailEnd type="triangle" w="med" len="med"/>
                                </a:ln>
                              </wps:spPr>
                              <wps:bodyPr/>
                            </wps:wsp>
                            <wps:wsp>
                              <wps:cNvPr id="81" name="文本框 81"/>
                              <wps:cNvSpPr txBox="1"/>
                              <wps:spPr>
                                <a:xfrm>
                                  <a:off x="3972560" y="704850"/>
                                  <a:ext cx="797560" cy="273050"/>
                                </a:xfrm>
                                <a:prstGeom prst="rect">
                                  <a:avLst/>
                                </a:prstGeom>
                                <a:noFill/>
                                <a:ln>
                                  <a:noFill/>
                                </a:ln>
                              </wps:spPr>
                              <wps:txbx>
                                <w:txbxContent>
                                  <w:p>
                                    <w:pPr>
                                      <w:jc w:val="center"/>
                                    </w:pPr>
                                    <w:r>
                                      <w:rPr>
                                        <w:rFonts w:hint="eastAsia"/>
                                      </w:rPr>
                                      <w:t>损耗</w:t>
                                    </w:r>
                                  </w:p>
                                </w:txbxContent>
                              </wps:txbx>
                              <wps:bodyPr upright="1"/>
                            </wps:wsp>
                            <wps:wsp>
                              <wps:cNvPr id="82" name="文本框 82"/>
                              <wps:cNvSpPr txBox="1"/>
                              <wps:spPr>
                                <a:xfrm>
                                  <a:off x="4348480" y="1027430"/>
                                  <a:ext cx="542925" cy="273050"/>
                                </a:xfrm>
                                <a:prstGeom prst="rect">
                                  <a:avLst/>
                                </a:prstGeom>
                                <a:noFill/>
                                <a:ln>
                                  <a:noFill/>
                                </a:ln>
                              </wps:spPr>
                              <wps:txbx>
                                <w:txbxContent>
                                  <w:p>
                                    <w:r>
                                      <w:rPr>
                                        <w:rFonts w:hint="eastAsia"/>
                                      </w:rPr>
                                      <w:t>0.22</w:t>
                                    </w:r>
                                  </w:p>
                                </w:txbxContent>
                              </wps:txbx>
                              <wps:bodyPr upright="1"/>
                            </wps:wsp>
                            <wps:wsp>
                              <wps:cNvPr id="83" name="文本框 83"/>
                              <wps:cNvSpPr txBox="1"/>
                              <wps:spPr>
                                <a:xfrm>
                                  <a:off x="1520825" y="520065"/>
                                  <a:ext cx="790575" cy="28003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ascii="Calibri"/>
                                        <w:szCs w:val="21"/>
                                      </w:rPr>
                                    </w:pPr>
                                    <w:r>
                                      <w:rPr>
                                        <w:rFonts w:hint="eastAsia" w:ascii="Calibri" w:hAnsi="Calibri"/>
                                        <w:szCs w:val="21"/>
                                        <w:lang w:bidi="ar"/>
                                      </w:rPr>
                                      <w:t>生活用水</w:t>
                                    </w:r>
                                  </w:p>
                                </w:txbxContent>
                              </wps:txbx>
                              <wps:bodyPr upright="1"/>
                            </wps:wsp>
                            <wps:wsp>
                              <wps:cNvPr id="84" name="曲线连接符 84"/>
                              <wps:cNvCnPr/>
                              <wps:spPr>
                                <a:xfrm rot="5400000" flipH="1" flipV="1">
                                  <a:off x="2118360" y="282575"/>
                                  <a:ext cx="255905" cy="219075"/>
                                </a:xfrm>
                                <a:prstGeom prst="curvedConnector3">
                                  <a:avLst>
                                    <a:gd name="adj1" fmla="val 50000"/>
                                  </a:avLst>
                                </a:prstGeom>
                                <a:ln w="6350" cap="flat" cmpd="sng">
                                  <a:solidFill>
                                    <a:srgbClr val="000000"/>
                                  </a:solidFill>
                                  <a:prstDash val="dash"/>
                                  <a:miter/>
                                  <a:headEnd type="none" w="med" len="med"/>
                                  <a:tailEnd type="triangle" w="med" len="med"/>
                                </a:ln>
                              </wps:spPr>
                              <wps:bodyPr/>
                            </wps:wsp>
                            <wps:wsp>
                              <wps:cNvPr id="85" name="文本框 85"/>
                              <wps:cNvSpPr txBox="1"/>
                              <wps:spPr>
                                <a:xfrm>
                                  <a:off x="2145665" y="406400"/>
                                  <a:ext cx="620395" cy="247650"/>
                                </a:xfrm>
                                <a:prstGeom prst="rect">
                                  <a:avLst/>
                                </a:prstGeom>
                                <a:noFill/>
                                <a:ln w="6350">
                                  <a:noFill/>
                                </a:ln>
                              </wps:spPr>
                              <wps:txbx>
                                <w:txbxContent>
                                  <w:p>
                                    <w:pPr>
                                      <w:jc w:val="center"/>
                                      <w:rPr>
                                        <w:szCs w:val="21"/>
                                      </w:rPr>
                                    </w:pPr>
                                    <w:r>
                                      <w:rPr>
                                        <w:szCs w:val="21"/>
                                        <w:lang w:bidi="ar"/>
                                      </w:rPr>
                                      <w:t>0.</w:t>
                                    </w:r>
                                    <w:r>
                                      <w:rPr>
                                        <w:rFonts w:hint="eastAsia"/>
                                        <w:szCs w:val="21"/>
                                        <w:lang w:bidi="ar"/>
                                      </w:rPr>
                                      <w:t>1</w:t>
                                    </w:r>
                                  </w:p>
                                </w:txbxContent>
                              </wps:txbx>
                              <wps:bodyPr upright="1"/>
                            </wps:wsp>
                            <wps:wsp>
                              <wps:cNvPr id="86" name="直接连接符 86"/>
                              <wps:cNvCnPr/>
                              <wps:spPr>
                                <a:xfrm>
                                  <a:off x="1141095" y="653415"/>
                                  <a:ext cx="635" cy="764540"/>
                                </a:xfrm>
                                <a:prstGeom prst="line">
                                  <a:avLst/>
                                </a:prstGeom>
                                <a:ln w="6350" cap="flat" cmpd="sng">
                                  <a:solidFill>
                                    <a:srgbClr val="000000"/>
                                  </a:solidFill>
                                  <a:prstDash val="solid"/>
                                  <a:miter/>
                                  <a:headEnd type="none" w="med" len="med"/>
                                  <a:tailEnd type="none" w="med" len="med"/>
                                </a:ln>
                              </wps:spPr>
                              <wps:bodyPr upright="1"/>
                            </wps:wsp>
                            <wps:wsp>
                              <wps:cNvPr id="87" name="直接箭头连接符 87"/>
                              <wps:cNvCnPr/>
                              <wps:spPr>
                                <a:xfrm>
                                  <a:off x="1141095" y="653415"/>
                                  <a:ext cx="373380" cy="635"/>
                                </a:xfrm>
                                <a:prstGeom prst="straightConnector1">
                                  <a:avLst/>
                                </a:prstGeom>
                                <a:ln w="9525" cap="flat" cmpd="sng">
                                  <a:solidFill>
                                    <a:srgbClr val="000000"/>
                                  </a:solidFill>
                                  <a:prstDash val="solid"/>
                                  <a:headEnd type="none" w="med" len="med"/>
                                  <a:tailEnd type="triangle" w="med" len="med"/>
                                </a:ln>
                              </wps:spPr>
                              <wps:bodyPr/>
                            </wps:wsp>
                            <wps:wsp>
                              <wps:cNvPr id="88" name="直接箭头连接符 88"/>
                              <wps:cNvCnPr/>
                              <wps:spPr>
                                <a:xfrm>
                                  <a:off x="1142365" y="1413510"/>
                                  <a:ext cx="373380" cy="635"/>
                                </a:xfrm>
                                <a:prstGeom prst="straightConnector1">
                                  <a:avLst/>
                                </a:prstGeom>
                                <a:ln w="9525" cap="flat" cmpd="sng">
                                  <a:solidFill>
                                    <a:srgbClr val="000000"/>
                                  </a:solidFill>
                                  <a:prstDash val="solid"/>
                                  <a:headEnd type="none" w="med" len="med"/>
                                  <a:tailEnd type="triangle" w="med" len="med"/>
                                </a:ln>
                              </wps:spPr>
                              <wps:bodyPr/>
                            </wps:wsp>
                            <wps:wsp>
                              <wps:cNvPr id="89" name="文本框 89"/>
                              <wps:cNvSpPr txBox="1"/>
                              <wps:spPr>
                                <a:xfrm>
                                  <a:off x="1691640" y="290830"/>
                                  <a:ext cx="619760" cy="265430"/>
                                </a:xfrm>
                                <a:prstGeom prst="rect">
                                  <a:avLst/>
                                </a:prstGeom>
                                <a:noFill/>
                                <a:ln w="6350">
                                  <a:noFill/>
                                </a:ln>
                              </wps:spPr>
                              <wps:txbx>
                                <w:txbxContent>
                                  <w:p>
                                    <w:pPr>
                                      <w:jc w:val="center"/>
                                      <w:rPr>
                                        <w:szCs w:val="21"/>
                                      </w:rPr>
                                    </w:pPr>
                                    <w:r>
                                      <w:rPr>
                                        <w:szCs w:val="21"/>
                                        <w:lang w:bidi="ar"/>
                                      </w:rPr>
                                      <w:t>0.</w:t>
                                    </w:r>
                                    <w:r>
                                      <w:rPr>
                                        <w:rFonts w:hint="eastAsia"/>
                                        <w:szCs w:val="21"/>
                                        <w:lang w:bidi="ar"/>
                                      </w:rPr>
                                      <w:t>02</w:t>
                                    </w:r>
                                  </w:p>
                                </w:txbxContent>
                              </wps:txbx>
                              <wps:bodyPr upright="1"/>
                            </wps:wsp>
                            <wps:wsp>
                              <wps:cNvPr id="90" name="直接箭头连接符 90"/>
                              <wps:cNvCnPr/>
                              <wps:spPr>
                                <a:xfrm>
                                  <a:off x="2311400" y="645160"/>
                                  <a:ext cx="347980" cy="635"/>
                                </a:xfrm>
                                <a:prstGeom prst="straightConnector1">
                                  <a:avLst/>
                                </a:prstGeom>
                                <a:ln w="9525" cap="flat" cmpd="sng">
                                  <a:solidFill>
                                    <a:srgbClr val="000000"/>
                                  </a:solidFill>
                                  <a:prstDash val="solid"/>
                                  <a:headEnd type="none" w="med" len="med"/>
                                  <a:tailEnd type="triangle" w="med" len="med"/>
                                </a:ln>
                              </wps:spPr>
                              <wps:bodyPr/>
                            </wps:wsp>
                            <wps:wsp>
                              <wps:cNvPr id="91" name="文本框 91"/>
                              <wps:cNvSpPr txBox="1"/>
                              <wps:spPr>
                                <a:xfrm>
                                  <a:off x="2661920" y="356870"/>
                                  <a:ext cx="1351280" cy="6045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hAnsi="宋体"/>
                                        <w:szCs w:val="21"/>
                                      </w:rPr>
                                      <w:t>依托附近公用防渗旱厕，定期清掏，外运堆肥，不外排</w:t>
                                    </w:r>
                                  </w:p>
                                </w:txbxContent>
                              </wps:txbx>
                              <wps:bodyPr upright="1"/>
                            </wps:wsp>
                            <wps:wsp>
                              <wps:cNvPr id="92" name="文本框 92"/>
                              <wps:cNvSpPr txBox="1"/>
                              <wps:spPr>
                                <a:xfrm>
                                  <a:off x="1102995" y="433705"/>
                                  <a:ext cx="505460" cy="273050"/>
                                </a:xfrm>
                                <a:prstGeom prst="rect">
                                  <a:avLst/>
                                </a:prstGeom>
                                <a:noFill/>
                                <a:ln>
                                  <a:noFill/>
                                </a:ln>
                              </wps:spPr>
                              <wps:txbx>
                                <w:txbxContent>
                                  <w:p>
                                    <w:r>
                                      <w:rPr>
                                        <w:rFonts w:hint="eastAsia"/>
                                      </w:rPr>
                                      <w:t>0.12</w:t>
                                    </w:r>
                                  </w:p>
                                </w:txbxContent>
                              </wps:txbx>
                              <wps:bodyPr upright="1"/>
                            </wps:wsp>
                            <wps:wsp>
                              <wps:cNvPr id="93" name="文本框 93"/>
                              <wps:cNvSpPr txBox="1"/>
                              <wps:spPr>
                                <a:xfrm>
                                  <a:off x="1070610" y="1184275"/>
                                  <a:ext cx="505460" cy="273050"/>
                                </a:xfrm>
                                <a:prstGeom prst="rect">
                                  <a:avLst/>
                                </a:prstGeom>
                                <a:noFill/>
                                <a:ln>
                                  <a:noFill/>
                                </a:ln>
                              </wps:spPr>
                              <wps:txbx>
                                <w:txbxContent>
                                  <w:p>
                                    <w:r>
                                      <w:rPr>
                                        <w:rFonts w:hint="eastAsia"/>
                                      </w:rPr>
                                      <w:t>11.12</w:t>
                                    </w:r>
                                  </w:p>
                                </w:txbxContent>
                              </wps:txbx>
                              <wps:bodyPr upright="1"/>
                            </wps:wsp>
                            <wps:wsp>
                              <wps:cNvPr id="94" name="文本框 94"/>
                              <wps:cNvSpPr txBox="1"/>
                              <wps:spPr>
                                <a:xfrm>
                                  <a:off x="1974850" y="53975"/>
                                  <a:ext cx="797560" cy="273050"/>
                                </a:xfrm>
                                <a:prstGeom prst="rect">
                                  <a:avLst/>
                                </a:prstGeom>
                                <a:noFill/>
                                <a:ln>
                                  <a:noFill/>
                                </a:ln>
                              </wps:spPr>
                              <wps:txbx>
                                <w:txbxContent>
                                  <w:p>
                                    <w:pPr>
                                      <w:jc w:val="center"/>
                                    </w:pPr>
                                    <w:r>
                                      <w:rPr>
                                        <w:rFonts w:hint="eastAsia"/>
                                      </w:rPr>
                                      <w:t>损耗</w:t>
                                    </w:r>
                                  </w:p>
                                </w:txbxContent>
                              </wps:txbx>
                              <wps:bodyPr upright="1"/>
                            </wps:wsp>
                          </wpc:wpc>
                        </a:graphicData>
                      </a:graphic>
                    </wp:inline>
                  </w:drawing>
                </mc:Choice>
                <mc:Fallback>
                  <w:pict>
                    <v:group id="_x0000_s1026" o:spid="_x0000_s1026" o:spt="203" style="height:224.7pt;width:395.7pt;" coordsize="5025390,2853690" editas="canvas" o:gfxdata="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">
                      <o:lock v:ext="edit" aspectratio="f"/>
                      <v:shape id="_x0000_s1026" o:spid="_x0000_s1026" style="position:absolute;left:0;top:0;height:2853690;width:5025390;" filled="f" stroked="f" coordsize="21600,21600" o:gfxdata="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">
                        <v:fill on="f" focussize="0,0"/>
                        <v:stroke on="f"/>
                        <v:imagedata o:title=""/>
                        <o:lock v:ext="edit" aspectratio="t"/>
                      </v:shape>
                      <v:shape id="_x0000_s1026" o:spid="_x0000_s1026" o:spt="202" type="#_x0000_t202" style="position:absolute;left:70485;top:895985;height:273050;width:604520;" fillcolor="#FFFFFF" filled="t" stroked="t" coordsize="21600,21600" o:gfxdata="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ELC3DWAAAABQEAAA8AAAAAAAAAAQAgAAAAIgAAAGRycy9kb3ducmV2Lnht&#10;bFBLAQIUABQAAAAIAIdO4kCAHPjC+wEAAPADAAAOAAAAAAAAAAEAIAAAACUBAABkcnMvZTJvRG9j&#10;LnhtbFBLBQYAAAAABgAGAFkBAACSBQAAAAA=&#10;">
                        <v:fill on="t" focussize="0,0"/>
                        <v:stroke color="#000000" joinstyle="miter"/>
                        <v:imagedata o:title=""/>
                        <o:lock v:ext="edit" aspectratio="f"/>
                        <v:textbox>
                          <w:txbxContent>
                            <w:p>
                              <w:r>
                                <w:rPr>
                                  <w:rFonts w:hint="eastAsia"/>
                                </w:rPr>
                                <w:t>新鲜水</w:t>
                              </w:r>
                            </w:p>
                          </w:txbxContent>
                        </v:textbox>
                      </v:shape>
                      <v:shape id="_x0000_s1026" o:spid="_x0000_s1026" o:spt="202" type="#_x0000_t202" style="position:absolute;left:1515745;top:1194435;height:458470;width:1042670;" fillcolor="#FFFFFF" filled="t" stroked="t" coordsize="21600,21600" o:gfxdata="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QsLcNYAAAAFAQAADwAAAAAAAAABACAAAAAiAAAAZHJzL2Rvd25yZXYueG1s&#10;UEsBAhQAFAAAAAgAh07iQBa5Sw36AQAA9AMAAA4AAAAAAAAAAQAgAAAAJQEAAGRycy9lMm9Eb2Mu&#10;eG1sUEsFBgAAAAAGAAYAWQEAAJEFAAAAAA==&#10;">
                        <v:fill on="t" focussize="0,0"/>
                        <v:stroke color="#000000" joinstyle="miter"/>
                        <v:imagedata o:title=""/>
                        <o:lock v:ext="edit" aspectratio="f"/>
                        <v:textbox>
                          <w:txbxContent>
                            <w:p>
                              <w:pPr>
                                <w:jc w:val="center"/>
                                <w:rPr>
                                  <w:szCs w:val="21"/>
                                </w:rPr>
                              </w:pPr>
                              <w:r>
                                <w:rPr>
                                  <w:rFonts w:hint="eastAsia"/>
                                  <w:szCs w:val="21"/>
                                </w:rPr>
                                <w:t>软化水制备装置</w:t>
                              </w:r>
                            </w:p>
                          </w:txbxContent>
                        </v:textbox>
                      </v:shape>
                      <v:shape id="_x0000_s1026" o:spid="_x0000_s1026" o:spt="202" type="#_x0000_t202" style="position:absolute;left:2853690;top:1303655;height:273050;width:797560;" fillcolor="#FFFFFF" filled="t" stroked="t" coordsize="21600,21600" o:gfxdata="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BCwtw1gAAAAUBAAAPAAAAAAAAAAEAIAAAACIAAABkcnMvZG93bnJldi54&#10;bWxQSwECFAAUAAAACACHTuJAxmcBu/wBAADzAwAADgAAAAAAAAABACAAAAAlAQAAZHJzL2Uyb0Rv&#10;Yy54bWxQSwUGAAAAAAYABgBZAQAAkwUAAAAA&#10;">
                        <v:fill on="t" focussize="0,0"/>
                        <v:stroke color="#000000" joinstyle="miter"/>
                        <v:imagedata o:title=""/>
                        <o:lock v:ext="edit" aspectratio="f"/>
                        <v:textbox>
                          <w:txbxContent>
                            <w:p>
                              <w:pPr>
                                <w:jc w:val="center"/>
                              </w:pPr>
                              <w:r>
                                <w:rPr>
                                  <w:rFonts w:hint="eastAsia"/>
                                </w:rPr>
                                <w:t>热水锅炉</w:t>
                              </w:r>
                            </w:p>
                          </w:txbxContent>
                        </v:textbox>
                      </v:shape>
                      <v:shape id="_x0000_s1026" o:spid="_x0000_s1026" o:spt="202" type="#_x0000_t202" style="position:absolute;left:4013200;top:1303655;height:273050;width:797560;" fillcolor="#FFFFFF" filled="t" stroked="t" coordsize="21600,21600" o:gfxdata="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BCwtw1gAAAAUBAAAPAAAAAAAAAAEAIAAAACIAAABkcnMvZG93bnJldi54&#10;bWxQSwECFAAUAAAACACHTuJA/FqBefwBAADzAwAADgAAAAAAAAABACAAAAAlAQAAZHJzL2Uyb0Rv&#10;Yy54bWxQSwUGAAAAAAYABgBZAQAAkwUAAAAA&#10;">
                        <v:fill on="t" focussize="0,0"/>
                        <v:stroke color="#000000" joinstyle="miter"/>
                        <v:imagedata o:title=""/>
                        <o:lock v:ext="edit" aspectratio="f"/>
                        <v:textbox>
                          <w:txbxContent>
                            <w:p>
                              <w:pPr>
                                <w:jc w:val="center"/>
                              </w:pPr>
                              <w:r>
                                <w:rPr>
                                  <w:rFonts w:hint="eastAsia"/>
                                </w:rPr>
                                <w:t>供热管网</w:t>
                              </w:r>
                            </w:p>
                          </w:txbxContent>
                        </v:textbox>
                      </v:shape>
                      <v:shape id="_x0000_s1026" o:spid="_x0000_s1026" o:spt="32" type="#_x0000_t32" style="position:absolute;left:678180;top:1018540;height:635;width:464185;" filled="f" stroked="t" coordsize="21600,21600" o:gfxdata="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n7yWrXAAAABQEAAA8AAAAAAAAAAQAgAAAAIgAAAGRycy9kb3ducmV2LnhtbFBLAQIU&#10;ABQAAAAIAIdO4kB8N8aX9AEAAK4DAAAOAAAAAAAAAAEAIAAAACYBAABkcnMvZTJvRG9jLnhtbFBL&#10;BQYAAAAABgAGAFkBAACMBQAAAAA=&#10;">
                        <v:fill on="f" focussize="0,0"/>
                        <v:stroke color="#000000" joinstyle="round" endarrow="block"/>
                        <v:imagedata o:title=""/>
                        <o:lock v:ext="edit" aspectratio="f"/>
                      </v:shape>
                      <v:shape id="_x0000_s1026" o:spid="_x0000_s1026" o:spt="32" type="#_x0000_t32" style="position:absolute;left:2558415;top:1439545;height:635;width:295275;" filled="f" stroked="t" coordsize="21600,21600" o:gfxdata="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n7yWrXAAAABQEAAA8AAAAAAAAAAQAgAAAAIgAAAGRycy9kb3ducmV2LnhtbFBL&#10;AQIUABQAAAAIAIdO4kBrjpVX9wEAAK8DAAAOAAAAAAAAAAEAIAAAACYBAABkcnMvZTJvRG9jLnht&#10;bFBLBQYAAAAABgAGAFkBAACPBQAAAAA=&#10;">
                        <v:fill on="f" focussize="0,0"/>
                        <v:stroke color="#000000" joinstyle="round" endarrow="block"/>
                        <v:imagedata o:title=""/>
                        <o:lock v:ext="edit" aspectratio="f"/>
                      </v:shape>
                      <v:shape id="_x0000_s1026" o:spid="_x0000_s1026" o:spt="202" type="#_x0000_t202" style="position:absolute;left:3573780;top:1226820;height:273050;width:542925;" filled="f" stroked="f" coordsize="21600,21600" o:gfxdata="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I4V83TAAAABQEAAA8AAAAAAAAAAQAgAAAA&#10;IgAAAGRycy9kb3ducmV2LnhtbFBLAQIUABQAAAAIAIdO4kC00tdungEAAA0DAAAOAAAAAAAAAAEA&#10;IAAAACIBAABkcnMvZTJvRG9jLnhtbFBLBQYAAAAABgAGAFkBAAAyBQAAAAA=&#10;">
                        <v:fill on="f" focussize="0,0"/>
                        <v:stroke on="f"/>
                        <v:imagedata o:title=""/>
                        <o:lock v:ext="edit" aspectratio="f"/>
                        <v:textbox>
                          <w:txbxContent>
                            <w:p>
                              <w:r>
                                <w:rPr>
                                  <w:rFonts w:hint="eastAsia"/>
                                </w:rPr>
                                <w:t>10.22</w:t>
                              </w:r>
                            </w:p>
                          </w:txbxContent>
                        </v:textbox>
                      </v:shape>
                      <v:shape id="_x0000_s1026" o:spid="_x0000_s1026" o:spt="202" type="#_x0000_t202" style="position:absolute;left:1515110;top:2249170;height:604520;width:2078990;" fillcolor="#FFFFFF" filled="t" stroked="t" coordsize="21600,21600" o:gfxdata="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QsLcNYAAAAFAQAADwAAAAAAAAABACAAAAAiAAAAZHJzL2Rvd25yZXYu&#10;eG1sUEsBAhQAFAAAAAgAh07iQJqIaF79AQAA9gMAAA4AAAAAAAAAAQAgAAAAJQEAAGRycy9lMm9E&#10;b2MueG1sUEsFBgAAAAAGAAYAWQEAAJQFAAAAAA==&#10;">
                        <v:fill on="t" focussize="0,0"/>
                        <v:stroke color="#000000" joinstyle="miter"/>
                        <v:imagedata o:title=""/>
                        <o:lock v:ext="edit" aspectratio="f"/>
                        <v:textbox>
                          <w:txbxContent>
                            <w:p>
                              <w:pPr>
                                <w:rPr>
                                  <w:szCs w:val="21"/>
                                </w:rPr>
                              </w:pPr>
                              <w:r>
                                <w:rPr>
                                  <w:rFonts w:hint="eastAsia" w:hAnsi="宋体"/>
                                  <w:szCs w:val="21"/>
                                </w:rPr>
                                <w:t>软化处理废水及锅炉排污水用于湿式除渣及锅炉房洒水抑尘，不外排</w:t>
                              </w:r>
                            </w:p>
                          </w:txbxContent>
                        </v:textbox>
                      </v:shape>
                      <v:shape id="_x0000_s1026" o:spid="_x0000_s1026" o:spt="32" type="#_x0000_t32" style="position:absolute;left:2486660;top:1887220;height:337820;width:635;" filled="f" stroked="t" coordsize="21600,21600" o:gfxdata="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iT6kdMAAAAFAQAADwAAAAAAAAABACAAAAAiAAAAZHJzL2Rvd25yZXYueG1sUEsB&#10;AhQAFAAAAAgAh07iQPWpLOn6AQAAsAMAAA4AAAAAAAAAAQAgAAAAIgEAAGRycy9lMm9Eb2MueG1s&#10;UEsFBgAAAAAGAAYAWQEAAI4FAAAAAA==&#10;">
                        <v:fill on="f" focussize="0,0"/>
                        <v:stroke color="#000000" joinstyle="round" dashstyle="dash" endarrow="block"/>
                        <v:imagedata o:title=""/>
                        <o:lock v:ext="edit" aspectratio="f"/>
                      </v:shape>
                      <v:shape id="_x0000_s1026" o:spid="_x0000_s1026" o:spt="202" type="#_x0000_t202" style="position:absolute;left:2069465;top:1920240;height:273050;width:624840;" filled="f" stroked="f" coordsize="21600,21600" o:gfxdata="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sjhXzdMAAAAFAQAADwAAAAAAAAABACAAAAAi&#10;AAAAZHJzL2Rvd25yZXYueG1sUEsBAhQAFAAAAAgAh07iQHj0FAqdAQAADQMAAA4AAAAAAAAAAQAg&#10;AAAAIgEAAGRycy9lMm9Eb2MueG1sUEsFBgAAAAAGAAYAWQEAADEFAAAAAA==&#10;">
                        <v:fill on="f" focussize="0,0"/>
                        <v:stroke on="f"/>
                        <v:imagedata o:title=""/>
                        <o:lock v:ext="edit" aspectratio="f"/>
                        <v:textbox>
                          <w:txbxContent>
                            <w:p>
                              <w:r>
                                <w:rPr>
                                  <w:rFonts w:hint="eastAsia"/>
                                </w:rPr>
                                <w:t>10.9</w:t>
                              </w:r>
                            </w:p>
                          </w:txbxContent>
                        </v:textbox>
                      </v:shape>
                      <v:shape id="_x0000_s1026" o:spid="_x0000_s1026" o:spt="32" type="#_x0000_t32" style="position:absolute;left:3665220;top:1444625;height:635;width:347980;" filled="f" stroked="t" coordsize="21600,21600" o:gfxdata="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n7yWrXAAAABQEAAA8AAAAAAAAAAQAgAAAAIgAAAGRycy9kb3ducmV2Lnht&#10;bFBLAQIUABQAAAAIAIdO4kBwjKGg+gEAALEDAAAOAAAAAAAAAAEAIAAAACYBAABkcnMvZTJvRG9j&#10;LnhtbFBLBQYAAAAABgAGAFkBAACSBQAAAAA=&#10;">
                        <v:fill on="f" focussize="0,0"/>
                        <v:stroke color="#000000" joinstyle="round" endarrow="block"/>
                        <v:imagedata o:title=""/>
                        <o:lock v:ext="edit" aspectratio="f"/>
                      </v:shape>
                      <v:shape id="_x0000_s1026" o:spid="_x0000_s1026" o:spt="32" type="#_x0000_t32" style="position:absolute;left:2047875;top:1887220;flip:y;height:635;width:1148715;" filled="f" stroked="t" coordsize="21600,21600" o:gfxdata="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aJdRLWAAAABQEAAA8AAAAAAAAAAQAgAAAAIgAAAGRycy9kb3ducmV2LnhtbFBL&#10;AQIUABQAAAAIAIdO4kC/KZVl+AEAALcDAAAOAAAAAAAAAAEAIAAAACUBAABkcnMvZTJvRG9jLnht&#10;bFBLBQYAAAAABgAGAFkBAACPBQAAAAA=&#10;">
                        <v:fill on="f" focussize="0,0"/>
                        <v:stroke color="#000000" joinstyle="round" dashstyle="dash"/>
                        <v:imagedata o:title=""/>
                        <o:lock v:ext="edit" aspectratio="f"/>
                      </v:shape>
                      <v:shape id="_x0000_s1026" o:spid="_x0000_s1026" o:spt="32" type="#_x0000_t32" style="position:absolute;left:2036445;top:1669415;flip:y;height:218440;width:635;" filled="f" stroked="t" coordsize="21600,21600" o:gfxdata="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aJdRLWAAAABQEAAA8AAAAAAAAAAQAgAAAAIgAAAGRycy9kb3ducmV2Lnht&#10;bFBLAQIUABQAAAAIAIdO4kDsustn+wEAALYDAAAOAAAAAAAAAAEAIAAAACUBAABkcnMvZTJvRG9j&#10;LnhtbFBLBQYAAAAABgAGAFkBAACSBQAAAAA=&#10;">
                        <v:fill on="f" focussize="0,0"/>
                        <v:stroke color="#000000" joinstyle="round" dashstyle="dash"/>
                        <v:imagedata o:title=""/>
                        <o:lock v:ext="edit" aspectratio="f"/>
                      </v:shape>
                      <v:shape id="_x0000_s1026" o:spid="_x0000_s1026" o:spt="32" type="#_x0000_t32" style="position:absolute;left:3195955;top:1576705;flip:y;height:290195;width:635;" filled="f" stroked="t" coordsize="21600,21600" o:gfxdata="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ol1EtYAAAAFAQAADwAAAAAAAAABACAAAAAiAAAAZHJzL2Rvd25yZXYueG1sUEsB&#10;AhQAFAAAAAgAh07iQMfq5Wv3AQAAtgMAAA4AAAAAAAAAAQAgAAAAJQEAAGRycy9lMm9Eb2MueG1s&#10;UEsFBgAAAAAGAAYAWQEAAI4FAAAAAA==&#10;">
                        <v:fill on="f" focussize="0,0"/>
                        <v:stroke color="#000000" joinstyle="round" dashstyle="dash"/>
                        <v:imagedata o:title=""/>
                        <o:lock v:ext="edit" aspectratio="f"/>
                      </v:shape>
                      <v:shape id="_x0000_s1026" o:spid="_x0000_s1026" o:spt="32" type="#_x0000_t32" style="position:absolute;left:4573905;top:1576705;height:229235;width:635;" filled="f" stroked="t" coordsize="21600,21600" o:gfxdata="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0/o6bWAAAABQEAAA8AAAAAAAAAAQAgAAAAIgAAAGRycy9kb3ducmV2LnhtbFBLAQIUABQAAAAI&#10;AIdO4kA5nJBo7wEAAK0DAAAOAAAAAAAAAAEAIAAAACUBAABkcnMvZTJvRG9jLnhtbFBLBQYAAAAA&#10;BgAGAFkBAACGBQAAAAA=&#10;">
                        <v:fill on="f" focussize="0,0"/>
                        <v:stroke color="#000000" joinstyle="round"/>
                        <v:imagedata o:title=""/>
                        <o:lock v:ext="edit" aspectratio="f"/>
                      </v:shape>
                      <v:shape id="_x0000_s1026" o:spid="_x0000_s1026" o:spt="32" type="#_x0000_t32" style="position:absolute;left:3442335;top:1805305;flip:x;height:635;width:1131570;" filled="f" stroked="t" coordsize="21600,21600" o:gfxdata="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DvN5HVAAAABQEAAA8AAAAAAAAAAQAgAAAAIgAAAGRycy9kb3ducmV2Lnht&#10;bFBLAQIUABQAAAAIAIdO4kBiBw7k/AEAALgDAAAOAAAAAAAAAAEAIAAAACQBAABkcnMvZTJvRG9j&#10;LnhtbFBLBQYAAAAABgAGAFkBAACSBQAAAAA=&#10;">
                        <v:fill on="f" focussize="0,0"/>
                        <v:stroke color="#000000" joinstyle="round"/>
                        <v:imagedata o:title=""/>
                        <o:lock v:ext="edit" aspectratio="f"/>
                      </v:shape>
                      <v:shape id="_x0000_s1026" o:spid="_x0000_s1026" o:spt="32" type="#_x0000_t32" style="position:absolute;left:3442335;top:1572260;flip:y;height:233045;width:635;" filled="f" stroked="t" coordsize="21600,21600" o:gfxdata="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ZZ+EU1wAAAAUBAAAPAAAAAAAAAAEAIAAAACIAAABkcnMvZG93bnJldi54&#10;bWxQSwECFAAUAAAACACHTuJAqFoT1fsBAAC7AwAADgAAAAAAAAABACAAAAAmAQAAZHJzL2Uyb0Rv&#10;Yy54bWxQSwUGAAAAAAYABgBZAQAAkwUAAAAA&#10;">
                        <v:fill on="f" focussize="0,0"/>
                        <v:stroke color="#000000" joinstyle="round" endarrow="block"/>
                        <v:imagedata o:title=""/>
                        <o:lock v:ext="edit" aspectratio="f"/>
                      </v:shape>
                      <v:shape id="_x0000_s1026" o:spid="_x0000_s1026" o:spt="202" type="#_x0000_t202" style="position:absolute;left:3836670;top:1597660;height:273050;width:505460;" filled="f" stroked="f" coordsize="21600,21600" o:gfxdata="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LI4V83TAAAABQEAAA8AAAAAAAAAAQAgAAAAIgAA&#10;AGRycy9kb3ducmV2LnhtbFBLAQIUABQAAAAIAIdO4kBh4iv5mwEAAA0DAAAOAAAAAAAAAAEAIAAA&#10;ACIBAABkcnMvZTJvRG9jLnhtbFBLBQYAAAAABgAGAFkBAAAvBQAAAAA=&#10;">
                        <v:fill on="f" focussize="0,0"/>
                        <v:stroke on="f"/>
                        <v:imagedata o:title=""/>
                        <o:lock v:ext="edit" aspectratio="f"/>
                        <v:textbox>
                          <w:txbxContent>
                            <w:p>
                              <w:r>
                                <w:rPr>
                                  <w:rFonts w:hint="eastAsia"/>
                                </w:rPr>
                                <w:t>10</w:t>
                              </w:r>
                            </w:p>
                          </w:txbxContent>
                        </v:textbox>
                      </v:shape>
                      <v:shape id="_x0000_s1026" o:spid="_x0000_s1026" o:spt="202" type="#_x0000_t202" style="position:absolute;left:640080;top:808990;height:273050;width:624840;" filled="f" stroked="f" coordsize="21600,21600" o:gfxdata="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sjhXzdMAAAAFAQAADwAAAAAAAAABACAAAAAiAAAA&#10;ZHJzL2Rvd25yZXYueG1sUEsBAhQAFAAAAAgAh07iQMwVv7aaAQAACwMAAA4AAAAAAAAAAQAgAAAA&#10;IgEAAGRycy9lMm9Eb2MueG1sUEsFBgAAAAAGAAYAWQEAAC4FAAAAAA==&#10;">
                        <v:fill on="f" focussize="0,0"/>
                        <v:stroke on="f"/>
                        <v:imagedata o:title=""/>
                        <o:lock v:ext="edit" aspectratio="f"/>
                        <v:textbox>
                          <w:txbxContent>
                            <w:p>
                              <w:r>
                                <w:rPr>
                                  <w:rFonts w:hint="eastAsia"/>
                                </w:rPr>
                                <w:t>11.24</w:t>
                              </w:r>
                            </w:p>
                          </w:txbxContent>
                        </v:textbox>
                      </v:shape>
                      <v:shape id="_x0000_s1026" o:spid="_x0000_s1026" o:spt="32" type="#_x0000_t32" style="position:absolute;left:4362450;top:961390;flip:x y;height:332105;width:10795;" filled="f" stroked="t" coordsize="21600,21600" o:gfxdata="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wUbd9cAAAAFAQAADwAAAAAAAAABACAAAAAiAAAAZHJz&#10;L2Rvd25yZXYueG1sUEsBAhQAFAAAAAgAh07iQPRLLPkFAgAAxQMAAA4AAAAAAAAAAQAgAAAAJgEA&#10;AGRycy9lMm9Eb2MueG1sUEsFBgAAAAAGAAYAWQEAAJ0FAAAAAA==&#10;">
                        <v:fill on="f" focussize="0,0"/>
                        <v:stroke color="#000000" joinstyle="round" dashstyle="dash" endarrow="block"/>
                        <v:imagedata o:title=""/>
                        <o:lock v:ext="edit" aspectratio="f"/>
                      </v:shape>
                      <v:shape id="_x0000_s1026" o:spid="_x0000_s1026" o:spt="202" type="#_x0000_t202" style="position:absolute;left:3972560;top:704850;height:273050;width:797560;" filled="f" stroked="f" coordsize="21600,21600" o:gfxdata="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LI4V83TAAAABQEAAA8AAAAAAAAAAQAgAAAAIgAA&#10;AGRycy9kb3ducmV2LnhtbFBLAQIUABQAAAAIAIdO4kC5PO0ZmwEAAAwDAAAOAAAAAAAAAAEAIAAA&#10;ACIBAABkcnMvZTJvRG9jLnhtbFBLBQYAAAAABgAGAFkBAAAvBQAAAAA=&#10;">
                        <v:fill on="f" focussize="0,0"/>
                        <v:stroke on="f"/>
                        <v:imagedata o:title=""/>
                        <o:lock v:ext="edit" aspectratio="f"/>
                        <v:textbox>
                          <w:txbxContent>
                            <w:p>
                              <w:pPr>
                                <w:jc w:val="center"/>
                              </w:pPr>
                              <w:r>
                                <w:rPr>
                                  <w:rFonts w:hint="eastAsia"/>
                                </w:rPr>
                                <w:t>损耗</w:t>
                              </w:r>
                            </w:p>
                          </w:txbxContent>
                        </v:textbox>
                      </v:shape>
                      <v:shape id="_x0000_s1026" o:spid="_x0000_s1026" o:spt="202" type="#_x0000_t202" style="position:absolute;left:4348480;top:1027430;height:273050;width:542925;" filled="f" stroked="f" coordsize="21600,21600" o:gfxdata="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sjhXzdMAAAAFAQAADwAAAAAAAAABACAAAAAi&#10;AAAAZHJzL2Rvd25yZXYueG1sUEsBAhQAFAAAAAgAh07iQFSCwjidAQAADQMAAA4AAAAAAAAAAQAg&#10;AAAAIgEAAGRycy9lMm9Eb2MueG1sUEsFBgAAAAAGAAYAWQEAADEFAAAAAA==&#10;">
                        <v:fill on="f" focussize="0,0"/>
                        <v:stroke on="f"/>
                        <v:imagedata o:title=""/>
                        <o:lock v:ext="edit" aspectratio="f"/>
                        <v:textbox>
                          <w:txbxContent>
                            <w:p>
                              <w:r>
                                <w:rPr>
                                  <w:rFonts w:hint="eastAsia"/>
                                </w:rPr>
                                <w:t>0.22</w:t>
                              </w:r>
                            </w:p>
                          </w:txbxContent>
                        </v:textbox>
                      </v:shape>
                      <v:shape id="_x0000_s1026" o:spid="_x0000_s1026" o:spt="202" type="#_x0000_t202" style="position:absolute;left:1520825;top:520065;height:280035;width:790575;" fillcolor="#FFFFFF" filled="t" stroked="t" coordsize="21600,21600" o:gfxdata="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l8Cl9QAAAAFAQAADwAAAAAAAAABACAAAAAiAAAAZHJzL2Rvd25yZXYueG1s&#10;UEsBAhQAFAAAAAgAh07iQPtd18j8AQAA9AMAAA4AAAAAAAAAAQAgAAAAIwEAAGRycy9lMm9Eb2Mu&#10;eG1sUEsFBgAAAAAGAAYAWQEAAJEFAAAAAA==&#10;">
                        <v:fill on="t" focussize="0,0"/>
                        <v:stroke weight="0.5pt" color="#000000" joinstyle="miter"/>
                        <v:imagedata o:title=""/>
                        <o:lock v:ext="edit" aspectratio="f"/>
                        <v:textbox>
                          <w:txbxContent>
                            <w:p>
                              <w:pPr>
                                <w:jc w:val="center"/>
                                <w:rPr>
                                  <w:rFonts w:ascii="Calibri"/>
                                  <w:szCs w:val="21"/>
                                </w:rPr>
                              </w:pPr>
                              <w:r>
                                <w:rPr>
                                  <w:rFonts w:hint="eastAsia" w:ascii="Calibri" w:hAnsi="Calibri"/>
                                  <w:szCs w:val="21"/>
                                  <w:lang w:bidi="ar"/>
                                </w:rPr>
                                <w:t>生活用水</w:t>
                              </w:r>
                            </w:p>
                          </w:txbxContent>
                        </v:textbox>
                      </v:shape>
                      <v:shape id="_x0000_s1026" o:spid="_x0000_s1026" o:spt="38" type="#_x0000_t38" style="position:absolute;left:2118360;top:282575;flip:x y;height:219075;width:255905;rotation:5898240f;" filled="f" stroked="t" coordsize="21600,21600" o:gfxdata="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aIR8/W&#10;AAAABQEAAA8AAAAAAAAAAQAgAAAAIgAAAGRycy9kb3ducmV2LnhtbFBLAQIUABQAAAAIAIdO4kBL&#10;eOFKIgIAAAMEAAAOAAAAAAAAAAEAIAAAACUBAABkcnMvZTJvRG9jLnhtbFBLBQYAAAAABgAGAFkB&#10;AAC5BQAAAAA=&#10;" adj="10800">
                        <v:fill on="f" focussize="0,0"/>
                        <v:stroke weight="0.5pt" color="#000000" joinstyle="miter" dashstyle="dash" endarrow="block"/>
                        <v:imagedata o:title=""/>
                        <o:lock v:ext="edit" aspectratio="f"/>
                      </v:shape>
                      <v:shape id="_x0000_s1026" o:spid="_x0000_s1026" o:spt="202" type="#_x0000_t202" style="position:absolute;left:2145665;top:406400;height:247650;width:620395;" filled="f" stroked="f" coordsize="21600,21600" o:gfxdata="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DlJ64HYAAAABQEAAA8AAAAA&#10;AAAAAQAgAAAAIgAAAGRycy9kb3ducmV2LnhtbFBLAQIUABQAAAAIAIdO4kAEoyvcogEAABUDAAAO&#10;AAAAAAAAAAEAIAAAACcBAABkcnMvZTJvRG9jLnhtbFBLBQYAAAAABgAGAFkBAAA7BQAAAAA=&#10;">
                        <v:fill on="f" focussize="0,0"/>
                        <v:stroke on="f" weight="0.5pt"/>
                        <v:imagedata o:title=""/>
                        <o:lock v:ext="edit" aspectratio="f"/>
                        <v:textbox>
                          <w:txbxContent>
                            <w:p>
                              <w:pPr>
                                <w:jc w:val="center"/>
                                <w:rPr>
                                  <w:szCs w:val="21"/>
                                </w:rPr>
                              </w:pPr>
                              <w:r>
                                <w:rPr>
                                  <w:szCs w:val="21"/>
                                  <w:lang w:bidi="ar"/>
                                </w:rPr>
                                <w:t>0.</w:t>
                              </w:r>
                              <w:r>
                                <w:rPr>
                                  <w:rFonts w:hint="eastAsia"/>
                                  <w:szCs w:val="21"/>
                                  <w:lang w:bidi="ar"/>
                                </w:rPr>
                                <w:t>1</w:t>
                              </w:r>
                            </w:p>
                          </w:txbxContent>
                        </v:textbox>
                      </v:shape>
                      <v:line id="_x0000_s1026" o:spid="_x0000_s1026" o:spt="20" style="position:absolute;left:1141095;top:653415;height:764540;width:635;" filled="f" stroked="t" coordsize="21600,21600" o:gfxdata="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T&#10;yvyi1QAAAAUBAAAPAAAAAAAAAAEAIAAAACIAAABkcnMvZG93bnJldi54bWxQSwECFAAUAAAACACH&#10;TuJAGKAEG+4BAACuAwAADgAAAAAAAAABACAAAAAkAQAAZHJzL2Uyb0RvYy54bWxQSwUGAAAAAAYA&#10;BgBZAQAAhAUAAAAA&#10;">
                        <v:fill on="f" focussize="0,0"/>
                        <v:stroke weight="0.5pt" color="#000000" joinstyle="miter"/>
                        <v:imagedata o:title=""/>
                        <o:lock v:ext="edit" aspectratio="f"/>
                      </v:line>
                      <v:shape id="_x0000_s1026" o:spid="_x0000_s1026" o:spt="32" type="#_x0000_t32" style="position:absolute;left:1141095;top:653415;height:635;width:373380;" filled="f" stroked="t" coordsize="21600,21600" o:gfxdata="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n7yWrXAAAABQEAAA8AAAAAAAAAAQAgAAAAIgAAAGRycy9kb3ducmV2Lnht&#10;bFBLAQIUABQAAAAIAIdO4kCvcfQ5+gEAALADAAAOAAAAAAAAAAEAIAAAACYBAABkcnMvZTJvRG9j&#10;LnhtbFBLBQYAAAAABgAGAFkBAACSBQAAAAA=&#10;">
                        <v:fill on="f" focussize="0,0"/>
                        <v:stroke color="#000000" joinstyle="round" endarrow="block"/>
                        <v:imagedata o:title=""/>
                        <o:lock v:ext="edit" aspectratio="f"/>
                      </v:shape>
                      <v:shape id="_x0000_s1026" o:spid="_x0000_s1026" o:spt="32" type="#_x0000_t32" style="position:absolute;left:1142365;top:1413510;height:635;width:373380;" filled="f" stroked="t" coordsize="21600,21600" o:gfxdata="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n7yWrXAAAABQEAAA8AAAAAAAAAAQAgAAAAIgAAAGRycy9kb3ducmV2LnhtbFBL&#10;AQIUABQAAAAIAIdO4kBkCJek9wEAALEDAAAOAAAAAAAAAAEAIAAAACYBAABkcnMvZTJvRG9jLnht&#10;bFBLBQYAAAAABgAGAFkBAACPBQAAAAA=&#10;">
                        <v:fill on="f" focussize="0,0"/>
                        <v:stroke color="#000000" joinstyle="round" endarrow="block"/>
                        <v:imagedata o:title=""/>
                        <o:lock v:ext="edit" aspectratio="f"/>
                      </v:shape>
                      <v:shape id="_x0000_s1026" o:spid="_x0000_s1026" o:spt="202" type="#_x0000_t202" style="position:absolute;left:1691640;top:290830;height:265430;width:619760;" filled="f" stroked="f" coordsize="21600,21600" o:gfxdata="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5SeuB2AAAAAUBAAAPAAAA&#10;AAAAAAEAIAAAACIAAABkcnMvZG93bnJldi54bWxQSwECFAAUAAAACACHTuJADl4v8KMBAAAVAwAA&#10;DgAAAAAAAAABACAAAAAnAQAAZHJzL2Uyb0RvYy54bWxQSwUGAAAAAAYABgBZAQAAPAUAAAAA&#10;">
                        <v:fill on="f" focussize="0,0"/>
                        <v:stroke on="f" weight="0.5pt"/>
                        <v:imagedata o:title=""/>
                        <o:lock v:ext="edit" aspectratio="f"/>
                        <v:textbox>
                          <w:txbxContent>
                            <w:p>
                              <w:pPr>
                                <w:jc w:val="center"/>
                                <w:rPr>
                                  <w:szCs w:val="21"/>
                                </w:rPr>
                              </w:pPr>
                              <w:r>
                                <w:rPr>
                                  <w:szCs w:val="21"/>
                                  <w:lang w:bidi="ar"/>
                                </w:rPr>
                                <w:t>0.</w:t>
                              </w:r>
                              <w:r>
                                <w:rPr>
                                  <w:rFonts w:hint="eastAsia"/>
                                  <w:szCs w:val="21"/>
                                  <w:lang w:bidi="ar"/>
                                </w:rPr>
                                <w:t>02</w:t>
                              </w:r>
                            </w:p>
                          </w:txbxContent>
                        </v:textbox>
                      </v:shape>
                      <v:shape id="_x0000_s1026" o:spid="_x0000_s1026" o:spt="32" type="#_x0000_t32" style="position:absolute;left:2311400;top:645160;height:635;width:347980;" filled="f" stroked="t" coordsize="21600,21600" o:gfxdata="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p+8lq1wAAAAUBAAAPAAAAAAAAAAEAIAAAACIAAABkcnMvZG93bnJldi54bWxQSwEC&#10;FAAUAAAACACHTuJAK9TUcPUBAACwAwAADgAAAAAAAAABACAAAAAmAQAAZHJzL2Uyb0RvYy54bWxQ&#10;SwUGAAAAAAYABgBZAQAAjQUAAAAA&#10;">
                        <v:fill on="f" focussize="0,0"/>
                        <v:stroke color="#000000" joinstyle="round" endarrow="block"/>
                        <v:imagedata o:title=""/>
                        <o:lock v:ext="edit" aspectratio="f"/>
                      </v:shape>
                      <v:shape id="_x0000_s1026" o:spid="_x0000_s1026" o:spt="202" type="#_x0000_t202" style="position:absolute;left:2661920;top:356870;height:604520;width:1351280;" fillcolor="#FFFFFF" filled="t" stroked="t" coordsize="21600,21600" o:gfxdata="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QsLcNYAAAAFAQAADwAAAAAAAAABACAAAAAiAAAAZHJzL2Rvd25yZXYueG1s&#10;UEsBAhQAFAAAAAgAh07iQDdaRqH6AQAA9QMAAA4AAAAAAAAAAQAgAAAAJQEAAGRycy9lMm9Eb2Mu&#10;eG1sUEsFBgAAAAAGAAYAWQEAAJEFAAAAAA==&#10;">
                        <v:fill on="t" focussize="0,0"/>
                        <v:stroke color="#000000" joinstyle="miter"/>
                        <v:imagedata o:title=""/>
                        <o:lock v:ext="edit" aspectratio="f"/>
                        <v:textbox>
                          <w:txbxContent>
                            <w:p>
                              <w:pPr>
                                <w:rPr>
                                  <w:szCs w:val="21"/>
                                </w:rPr>
                              </w:pPr>
                              <w:r>
                                <w:rPr>
                                  <w:rFonts w:hint="eastAsia" w:hAnsi="宋体"/>
                                  <w:szCs w:val="21"/>
                                </w:rPr>
                                <w:t>依托附近公用防渗旱厕，定期清掏，外运堆肥，不外排</w:t>
                              </w:r>
                            </w:p>
                          </w:txbxContent>
                        </v:textbox>
                      </v:shape>
                      <v:shape id="_x0000_s1026" o:spid="_x0000_s1026" o:spt="202" type="#_x0000_t202" style="position:absolute;left:1102995;top:433705;height:273050;width:505460;" filled="f" stroked="f" coordsize="21600,21600" o:gfxdata="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I4V83TAAAABQEAAA8AAAAAAAAAAQAgAAAA&#10;IgAAAGRycy9kb3ducmV2LnhtbFBLAQIUABQAAAAIAIdO4kA3cGAxngEAAAwDAAAOAAAAAAAAAAEA&#10;IAAAACIBAABkcnMvZTJvRG9jLnhtbFBLBQYAAAAABgAGAFkBAAAyBQAAAAA=&#10;">
                        <v:fill on="f" focussize="0,0"/>
                        <v:stroke on="f"/>
                        <v:imagedata o:title=""/>
                        <o:lock v:ext="edit" aspectratio="f"/>
                        <v:textbox>
                          <w:txbxContent>
                            <w:p>
                              <w:r>
                                <w:rPr>
                                  <w:rFonts w:hint="eastAsia"/>
                                </w:rPr>
                                <w:t>0.12</w:t>
                              </w:r>
                            </w:p>
                          </w:txbxContent>
                        </v:textbox>
                      </v:shape>
                      <v:shape id="_x0000_s1026" o:spid="_x0000_s1026" o:spt="202" type="#_x0000_t202" style="position:absolute;left:1070610;top:1184275;height:273050;width:505460;" filled="f" stroked="f" coordsize="21600,21600" o:gfxdata="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I4V83TAAAABQEAAA8AAAAAAAAAAQAgAAAA&#10;IgAAAGRycy9kb3ducmV2LnhtbFBLAQIUABQAAAAIAIdO4kAmvmLEngEAAA0DAAAOAAAAAAAAAAEA&#10;IAAAACIBAABkcnMvZTJvRG9jLnhtbFBLBQYAAAAABgAGAFkBAAAyBQAAAAA=&#10;">
                        <v:fill on="f" focussize="0,0"/>
                        <v:stroke on="f"/>
                        <v:imagedata o:title=""/>
                        <o:lock v:ext="edit" aspectratio="f"/>
                        <v:textbox>
                          <w:txbxContent>
                            <w:p>
                              <w:r>
                                <w:rPr>
                                  <w:rFonts w:hint="eastAsia"/>
                                </w:rPr>
                                <w:t>11.12</w:t>
                              </w:r>
                            </w:p>
                          </w:txbxContent>
                        </v:textbox>
                      </v:shape>
                      <v:shape id="_x0000_s1026" o:spid="_x0000_s1026" o:spt="202" type="#_x0000_t202" style="position:absolute;left:1974850;top:53975;height:273050;width:797560;" filled="f" stroked="f" coordsize="21600,21600" o:gfxdata="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&#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LI4V83TAAAABQEAAA8AAAAAAAAAAQAgAAAAIgAAAGRy&#10;cy9kb3ducmV2LnhtbFBLAQIUABQAAAAIAIdO4kAVbJnXmAEAAAsDAAAOAAAAAAAAAAEAIAAAACIB&#10;AABkcnMvZTJvRG9jLnhtbFBLBQYAAAAABgAGAFkBAAAsBQAAAAA=&#10;">
                        <v:fill on="f" focussize="0,0"/>
                        <v:stroke on="f"/>
                        <v:imagedata o:title=""/>
                        <o:lock v:ext="edit" aspectratio="f"/>
                        <v:textbox>
                          <w:txbxContent>
                            <w:p>
                              <w:pPr>
                                <w:jc w:val="center"/>
                              </w:pPr>
                              <w:r>
                                <w:rPr>
                                  <w:rFonts w:hint="eastAsia"/>
                                </w:rPr>
                                <w:t>损耗</w:t>
                              </w:r>
                            </w:p>
                          </w:txbxContent>
                        </v:textbox>
                      </v:shape>
                      <w10:wrap type="none"/>
                      <w10:anchorlock/>
                    </v:group>
                  </w:pict>
                </mc:Fallback>
              </mc:AlternateContent>
            </w:r>
          </w:p>
          <w:p>
            <w:pPr>
              <w:spacing w:line="360" w:lineRule="auto"/>
              <w:ind w:firstLine="482" w:firstLineChars="200"/>
              <w:jc w:val="center"/>
              <w:rPr>
                <w:b/>
                <w:bCs/>
                <w:color w:val="auto"/>
                <w:kern w:val="0"/>
                <w:sz w:val="24"/>
              </w:rPr>
            </w:pPr>
            <w:r>
              <w:rPr>
                <w:b/>
                <w:bCs/>
                <w:color w:val="auto"/>
                <w:kern w:val="0"/>
                <w:sz w:val="24"/>
              </w:rPr>
              <w:t>图2-1本项目水量平衡图   单位：t/d</w:t>
            </w:r>
          </w:p>
          <w:p>
            <w:pPr>
              <w:spacing w:line="360" w:lineRule="auto"/>
              <w:ind w:firstLine="420" w:firstLineChars="200"/>
              <w:jc w:val="left"/>
              <w:rPr>
                <w:rFonts w:hint="eastAsia"/>
                <w:bCs/>
                <w:color w:val="auto"/>
                <w:sz w:val="24"/>
              </w:rPr>
            </w:pPr>
            <w:r>
              <w:rPr>
                <w:bCs/>
                <w:color w:val="auto"/>
                <w:kern w:val="0"/>
                <w:szCs w:val="21"/>
              </w:rPr>
              <w:t>（</w:t>
            </w:r>
            <w:r>
              <w:rPr>
                <w:bCs/>
                <w:color w:val="auto"/>
                <w:kern w:val="0"/>
                <w:sz w:val="24"/>
              </w:rPr>
              <w:t>3）供热：采用</w:t>
            </w:r>
            <w:r>
              <w:rPr>
                <w:rFonts w:hint="eastAsia" w:hAnsi="宋体"/>
                <w:bCs/>
                <w:color w:val="auto"/>
                <w:sz w:val="24"/>
              </w:rPr>
              <w:t>1台7MW（10t/h）燃生物质热水锅炉为利民新村小区提供集中供热</w:t>
            </w:r>
            <w:r>
              <w:rPr>
                <w:bCs/>
                <w:color w:val="auto"/>
                <w:sz w:val="24"/>
              </w:rPr>
              <w:t>。</w:t>
            </w:r>
          </w:p>
          <w:p>
            <w:pPr>
              <w:spacing w:line="360" w:lineRule="auto"/>
              <w:ind w:firstLine="480" w:firstLineChars="200"/>
              <w:jc w:val="left"/>
              <w:rPr>
                <w:rFonts w:hint="eastAsia" w:hAnsi="宋体"/>
                <w:bCs/>
                <w:color w:val="auto"/>
                <w:sz w:val="24"/>
              </w:rPr>
            </w:pPr>
            <w:r>
              <w:rPr>
                <w:rFonts w:hint="eastAsia" w:hAnsi="宋体"/>
                <w:bCs/>
                <w:color w:val="auto"/>
                <w:sz w:val="24"/>
              </w:rPr>
              <w:t>燃料使用量：</w:t>
            </w:r>
          </w:p>
          <w:p>
            <w:pPr>
              <w:spacing w:line="360" w:lineRule="auto"/>
              <w:ind w:firstLine="480" w:firstLineChars="200"/>
              <w:jc w:val="left"/>
              <w:rPr>
                <w:rFonts w:hint="eastAsia" w:hAnsi="宋体"/>
                <w:bCs/>
                <w:color w:val="auto"/>
                <w:sz w:val="24"/>
              </w:rPr>
            </w:pPr>
            <w:r>
              <w:rPr>
                <w:rFonts w:hAnsi="宋体"/>
                <w:bCs/>
                <w:color w:val="auto"/>
                <w:sz w:val="24"/>
              </w:rPr>
              <w:fldChar w:fldCharType="begin"/>
            </w:r>
            <w:r>
              <w:rPr>
                <w:rFonts w:hAnsi="宋体"/>
                <w:bCs/>
                <w:color w:val="auto"/>
                <w:sz w:val="24"/>
              </w:rPr>
              <w:instrText xml:space="preserve"> </w:instrText>
            </w:r>
            <w:r>
              <w:rPr>
                <w:rFonts w:hint="eastAsia" w:hAnsi="宋体"/>
                <w:bCs/>
                <w:color w:val="auto"/>
                <w:sz w:val="24"/>
              </w:rPr>
              <w:instrText xml:space="preserve">= 1 \* GB3</w:instrText>
            </w:r>
            <w:r>
              <w:rPr>
                <w:rFonts w:hAnsi="宋体"/>
                <w:bCs/>
                <w:color w:val="auto"/>
                <w:sz w:val="24"/>
              </w:rPr>
              <w:instrText xml:space="preserve"> </w:instrText>
            </w:r>
            <w:r>
              <w:rPr>
                <w:rFonts w:hAnsi="宋体"/>
                <w:bCs/>
                <w:color w:val="auto"/>
                <w:sz w:val="24"/>
              </w:rPr>
              <w:fldChar w:fldCharType="separate"/>
            </w:r>
            <w:r>
              <w:rPr>
                <w:rFonts w:hint="eastAsia" w:hAnsi="宋体"/>
                <w:bCs/>
                <w:color w:val="auto"/>
                <w:sz w:val="24"/>
              </w:rPr>
              <w:t>①</w:t>
            </w:r>
            <w:r>
              <w:rPr>
                <w:rFonts w:hAnsi="宋体"/>
                <w:bCs/>
                <w:color w:val="auto"/>
                <w:sz w:val="24"/>
              </w:rPr>
              <w:fldChar w:fldCharType="end"/>
            </w:r>
            <w:r>
              <w:rPr>
                <w:color w:val="auto"/>
                <w:kern w:val="0"/>
                <w:sz w:val="24"/>
              </w:rPr>
              <w:t>燃料使用量</w:t>
            </w:r>
            <w:r>
              <w:rPr>
                <w:rFonts w:hint="eastAsia"/>
                <w:color w:val="auto"/>
                <w:kern w:val="0"/>
                <w:sz w:val="24"/>
              </w:rPr>
              <w:t>采暖综合指标</w:t>
            </w:r>
            <w:r>
              <w:rPr>
                <w:bCs/>
                <w:color w:val="auto"/>
                <w:kern w:val="0"/>
                <w:sz w:val="24"/>
              </w:rPr>
              <w:t>为</w:t>
            </w:r>
            <w:r>
              <w:rPr>
                <w:rFonts w:hint="eastAsia"/>
                <w:bCs/>
                <w:color w:val="auto"/>
                <w:kern w:val="0"/>
                <w:sz w:val="24"/>
              </w:rPr>
              <w:t>55</w:t>
            </w:r>
            <w:r>
              <w:rPr>
                <w:bCs/>
                <w:color w:val="auto"/>
                <w:kern w:val="0"/>
                <w:sz w:val="24"/>
              </w:rPr>
              <w:t>w/m</w:t>
            </w:r>
            <w:r>
              <w:rPr>
                <w:bCs/>
                <w:color w:val="auto"/>
                <w:kern w:val="0"/>
                <w:sz w:val="24"/>
                <w:vertAlign w:val="superscript"/>
              </w:rPr>
              <w:t>2</w:t>
            </w:r>
            <w:r>
              <w:rPr>
                <w:bCs/>
                <w:color w:val="auto"/>
                <w:kern w:val="0"/>
                <w:sz w:val="24"/>
              </w:rPr>
              <w:t>，</w:t>
            </w:r>
            <w:r>
              <w:rPr>
                <w:rFonts w:hint="eastAsia"/>
                <w:bCs/>
                <w:color w:val="auto"/>
                <w:kern w:val="0"/>
                <w:sz w:val="24"/>
              </w:rPr>
              <w:t>1</w:t>
            </w:r>
            <w:r>
              <w:rPr>
                <w:bCs/>
                <w:color w:val="auto"/>
                <w:kern w:val="0"/>
                <w:sz w:val="24"/>
              </w:rPr>
              <w:t>kw</w:t>
            </w:r>
            <w:r>
              <w:rPr>
                <w:rFonts w:hint="eastAsia"/>
                <w:bCs/>
                <w:color w:val="auto"/>
                <w:kern w:val="0"/>
                <w:sz w:val="24"/>
              </w:rPr>
              <w:t>=857kcal/h，采暖面积为5万m</w:t>
            </w:r>
            <w:r>
              <w:rPr>
                <w:rFonts w:hint="eastAsia"/>
                <w:bCs/>
                <w:color w:val="auto"/>
                <w:kern w:val="0"/>
                <w:sz w:val="24"/>
                <w:vertAlign w:val="superscript"/>
              </w:rPr>
              <w:t>2</w:t>
            </w:r>
            <w:r>
              <w:rPr>
                <w:rFonts w:hint="eastAsia"/>
                <w:bCs/>
                <w:color w:val="auto"/>
                <w:kern w:val="0"/>
                <w:sz w:val="24"/>
              </w:rPr>
              <w:t>，</w:t>
            </w:r>
            <w:r>
              <w:rPr>
                <w:rFonts w:hint="eastAsia" w:hAnsi="宋体"/>
                <w:bCs/>
                <w:color w:val="auto"/>
                <w:sz w:val="24"/>
              </w:rPr>
              <w:t>生物质分析报告中收到基低位热值为2356kcal/kg，</w:t>
            </w:r>
            <w:r>
              <w:rPr>
                <w:bCs/>
                <w:color w:val="auto"/>
                <w:kern w:val="0"/>
                <w:sz w:val="24"/>
              </w:rPr>
              <w:t>共需要</w:t>
            </w:r>
            <w:r>
              <w:rPr>
                <w:rFonts w:hint="eastAsia"/>
                <w:bCs/>
                <w:color w:val="auto"/>
                <w:kern w:val="0"/>
                <w:sz w:val="24"/>
              </w:rPr>
              <w:t>生物质=（55×50000×875×4320）/（1000*2356）/1000=4412t</w:t>
            </w:r>
            <w:r>
              <w:rPr>
                <w:bCs/>
                <w:color w:val="auto"/>
                <w:kern w:val="0"/>
                <w:sz w:val="24"/>
              </w:rPr>
              <w:t>/a。</w:t>
            </w:r>
            <w:r>
              <w:rPr>
                <w:color w:val="auto"/>
                <w:kern w:val="0"/>
                <w:sz w:val="24"/>
              </w:rPr>
              <w:t>生物质蒸汽锅炉热效率为8</w:t>
            </w:r>
            <w:r>
              <w:rPr>
                <w:rFonts w:hint="eastAsia"/>
                <w:color w:val="auto"/>
                <w:kern w:val="0"/>
                <w:sz w:val="24"/>
              </w:rPr>
              <w:t>0</w:t>
            </w:r>
            <w:r>
              <w:rPr>
                <w:color w:val="auto"/>
                <w:kern w:val="0"/>
                <w:sz w:val="24"/>
              </w:rPr>
              <w:t>%，则生物质燃料消耗量为</w:t>
            </w:r>
            <w:r>
              <w:rPr>
                <w:rFonts w:hint="eastAsia"/>
                <w:color w:val="auto"/>
                <w:kern w:val="0"/>
                <w:sz w:val="24"/>
              </w:rPr>
              <w:t>5515</w:t>
            </w:r>
            <w:r>
              <w:rPr>
                <w:color w:val="auto"/>
                <w:kern w:val="0"/>
                <w:sz w:val="24"/>
              </w:rPr>
              <w:t>t/a。</w:t>
            </w:r>
          </w:p>
          <w:p>
            <w:pPr>
              <w:spacing w:line="360" w:lineRule="auto"/>
              <w:ind w:firstLine="480" w:firstLineChars="200"/>
              <w:jc w:val="left"/>
              <w:rPr>
                <w:bCs/>
                <w:color w:val="auto"/>
                <w:kern w:val="0"/>
                <w:sz w:val="24"/>
              </w:rPr>
            </w:pPr>
            <w:r>
              <w:rPr>
                <w:rFonts w:hAnsi="宋体"/>
                <w:color w:val="auto"/>
                <w:sz w:val="24"/>
              </w:rPr>
              <w:fldChar w:fldCharType="begin"/>
            </w:r>
            <w:r>
              <w:rPr>
                <w:rFonts w:hAnsi="宋体"/>
                <w:color w:val="auto"/>
                <w:sz w:val="24"/>
              </w:rPr>
              <w:instrText xml:space="preserve"> </w:instrText>
            </w:r>
            <w:r>
              <w:rPr>
                <w:rFonts w:hint="eastAsia" w:hAnsi="宋体"/>
                <w:color w:val="auto"/>
                <w:sz w:val="24"/>
              </w:rPr>
              <w:instrText xml:space="preserve">= 2 \* GB3</w:instrText>
            </w:r>
            <w:r>
              <w:rPr>
                <w:rFonts w:hAnsi="宋体"/>
                <w:color w:val="auto"/>
                <w:sz w:val="24"/>
              </w:rPr>
              <w:instrText xml:space="preserve"> </w:instrText>
            </w:r>
            <w:r>
              <w:rPr>
                <w:rFonts w:hAnsi="宋体"/>
                <w:color w:val="auto"/>
                <w:sz w:val="24"/>
              </w:rPr>
              <w:fldChar w:fldCharType="separate"/>
            </w:r>
            <w:r>
              <w:rPr>
                <w:rFonts w:hint="eastAsia" w:hAnsi="宋体"/>
                <w:color w:val="auto"/>
                <w:sz w:val="24"/>
              </w:rPr>
              <w:t>②</w:t>
            </w:r>
            <w:r>
              <w:rPr>
                <w:rFonts w:hAnsi="宋体"/>
                <w:color w:val="auto"/>
                <w:sz w:val="24"/>
              </w:rPr>
              <w:fldChar w:fldCharType="end"/>
            </w:r>
            <w:r>
              <w:rPr>
                <w:rFonts w:hint="eastAsia" w:hAnsi="宋体"/>
                <w:color w:val="auto"/>
                <w:sz w:val="24"/>
              </w:rPr>
              <w:t>满负荷燃料最大使用量：</w:t>
            </w:r>
            <w:r>
              <w:rPr>
                <w:rFonts w:hint="eastAsia" w:hAnsi="宋体"/>
                <w:bCs/>
                <w:color w:val="auto"/>
                <w:sz w:val="24"/>
              </w:rPr>
              <w:t>1台7MW（10t/h）</w:t>
            </w:r>
            <w:r>
              <w:rPr>
                <w:rFonts w:hint="eastAsia" w:hAnsi="宋体"/>
                <w:color w:val="auto"/>
                <w:sz w:val="24"/>
              </w:rPr>
              <w:t>生物质热水锅炉按满负荷计算，1t/h相当于60万大卡，则每小时可提供600万大卡，锅炉热效率按80%计，</w:t>
            </w:r>
            <w:r>
              <w:rPr>
                <w:rFonts w:hint="eastAsia" w:hAnsi="宋体"/>
                <w:bCs/>
                <w:color w:val="auto"/>
                <w:sz w:val="24"/>
              </w:rPr>
              <w:t>生物质分析报告中收到基低位热值为2356cal/g，通过热值平衡折算，生物质（秸秆）每小时最大使用量为3.18t/h。</w:t>
            </w:r>
          </w:p>
          <w:p>
            <w:pPr>
              <w:spacing w:line="360" w:lineRule="auto"/>
              <w:ind w:firstLine="480" w:firstLineChars="200"/>
              <w:jc w:val="left"/>
              <w:rPr>
                <w:color w:val="auto"/>
                <w:kern w:val="0"/>
                <w:sz w:val="24"/>
              </w:rPr>
            </w:pPr>
            <w:r>
              <w:rPr>
                <w:color w:val="auto"/>
                <w:kern w:val="0"/>
                <w:sz w:val="24"/>
              </w:rPr>
              <w:t>（4）供电：由当地电业局提供。</w:t>
            </w:r>
          </w:p>
          <w:p>
            <w:pPr>
              <w:spacing w:line="360" w:lineRule="auto"/>
              <w:ind w:firstLine="482" w:firstLineChars="200"/>
              <w:jc w:val="left"/>
              <w:rPr>
                <w:b/>
                <w:color w:val="auto"/>
                <w:kern w:val="0"/>
                <w:sz w:val="24"/>
              </w:rPr>
            </w:pPr>
            <w:r>
              <w:rPr>
                <w:rFonts w:hint="eastAsia"/>
                <w:b/>
                <w:color w:val="auto"/>
                <w:kern w:val="0"/>
                <w:sz w:val="24"/>
              </w:rPr>
              <w:t>5</w:t>
            </w:r>
            <w:r>
              <w:rPr>
                <w:b/>
                <w:color w:val="auto"/>
                <w:kern w:val="0"/>
                <w:sz w:val="24"/>
              </w:rPr>
              <w:t>、厂区平面布置</w:t>
            </w:r>
          </w:p>
          <w:p>
            <w:pPr>
              <w:spacing w:line="360" w:lineRule="auto"/>
              <w:ind w:firstLine="480" w:firstLineChars="200"/>
              <w:jc w:val="left"/>
              <w:rPr>
                <w:color w:val="auto"/>
                <w:kern w:val="0"/>
                <w:sz w:val="24"/>
              </w:rPr>
            </w:pPr>
            <w:r>
              <w:rPr>
                <w:rFonts w:hint="eastAsia"/>
                <w:color w:val="auto"/>
                <w:kern w:val="0"/>
                <w:sz w:val="24"/>
              </w:rPr>
              <w:t>本项目锅炉房位于厂区南侧，水处理间、</w:t>
            </w:r>
            <w:r>
              <w:rPr>
                <w:color w:val="auto"/>
                <w:kern w:val="0"/>
                <w:sz w:val="24"/>
              </w:rPr>
              <w:t>换热器间位于锅炉房</w:t>
            </w:r>
            <w:r>
              <w:rPr>
                <w:rFonts w:hint="eastAsia"/>
                <w:color w:val="auto"/>
                <w:kern w:val="0"/>
                <w:sz w:val="24"/>
              </w:rPr>
              <w:t>西侧、操作间、车库位于锅炉房东侧，燃料堆场位于锅炉房北侧，距离较近，总体布局合理</w:t>
            </w:r>
            <w:r>
              <w:rPr>
                <w:color w:val="auto"/>
                <w:kern w:val="0"/>
                <w:sz w:val="24"/>
              </w:rPr>
              <w:t>。厂区平面布置图见附图3。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3" w:type="dxa"/>
            <w:noWrap w:val="0"/>
            <w:vAlign w:val="center"/>
          </w:tcPr>
          <w:p>
            <w:pPr>
              <w:pStyle w:val="12"/>
              <w:adjustRightInd w:val="0"/>
              <w:snapToGrid w:val="0"/>
              <w:spacing w:before="0" w:beforeAutospacing="0" w:after="0" w:afterAutospacing="0"/>
              <w:jc w:val="center"/>
              <w:rPr>
                <w:rFonts w:ascii="Times New Roman" w:hAnsi="Times New Roman"/>
                <w:color w:val="auto"/>
                <w:szCs w:val="24"/>
                <w:lang w:val="en-US" w:eastAsia="zh-CN"/>
              </w:rPr>
            </w:pPr>
            <w:r>
              <w:rPr>
                <w:rFonts w:ascii="Times New Roman" w:hAnsi="Times New Roman"/>
                <w:color w:val="auto"/>
                <w:szCs w:val="24"/>
                <w:lang w:val="en-US" w:eastAsia="zh-CN"/>
              </w:rPr>
              <w:t>工艺流程和产排污环节</w:t>
            </w:r>
          </w:p>
        </w:tc>
        <w:tc>
          <w:tcPr>
            <w:tcW w:w="8348" w:type="dxa"/>
            <w:noWrap w:val="0"/>
            <w:vAlign w:val="top"/>
          </w:tcPr>
          <w:p>
            <w:pPr>
              <w:spacing w:line="360" w:lineRule="auto"/>
              <w:contextualSpacing/>
              <w:rPr>
                <w:b/>
                <w:bCs/>
                <w:color w:val="auto"/>
                <w:sz w:val="28"/>
              </w:rPr>
            </w:pPr>
            <w:r>
              <w:rPr>
                <w:b/>
                <w:bCs/>
                <w:color w:val="auto"/>
                <w:sz w:val="28"/>
              </w:rPr>
              <w:t>施工期工程分析</w:t>
            </w:r>
          </w:p>
          <w:p>
            <w:pPr>
              <w:spacing w:line="360" w:lineRule="auto"/>
              <w:ind w:firstLine="480" w:firstLineChars="200"/>
              <w:jc w:val="left"/>
              <w:rPr>
                <w:color w:val="auto"/>
                <w:kern w:val="0"/>
                <w:sz w:val="24"/>
              </w:rPr>
            </w:pPr>
            <w:r>
              <w:rPr>
                <w:color w:val="auto"/>
                <w:kern w:val="0"/>
                <w:sz w:val="24"/>
              </w:rPr>
              <w:t>本项目施工期仅为1台</w:t>
            </w:r>
            <w:r>
              <w:rPr>
                <w:rFonts w:hint="eastAsia"/>
                <w:color w:val="auto"/>
                <w:kern w:val="0"/>
                <w:sz w:val="24"/>
              </w:rPr>
              <w:t>7MW生物质热水锅炉</w:t>
            </w:r>
            <w:r>
              <w:rPr>
                <w:color w:val="auto"/>
                <w:kern w:val="0"/>
                <w:sz w:val="24"/>
              </w:rPr>
              <w:t>安装</w:t>
            </w:r>
            <w:r>
              <w:rPr>
                <w:rFonts w:hint="eastAsia"/>
                <w:color w:val="auto"/>
                <w:kern w:val="0"/>
                <w:sz w:val="24"/>
              </w:rPr>
              <w:t>布袋除尘器，</w:t>
            </w:r>
            <w:r>
              <w:rPr>
                <w:color w:val="auto"/>
                <w:kern w:val="0"/>
                <w:sz w:val="24"/>
              </w:rPr>
              <w:t>无土建工程施工</w:t>
            </w:r>
            <w:r>
              <w:rPr>
                <w:rFonts w:hint="eastAsia"/>
                <w:color w:val="auto"/>
                <w:kern w:val="0"/>
                <w:sz w:val="24"/>
              </w:rPr>
              <w:t>。</w:t>
            </w:r>
          </w:p>
          <w:p>
            <w:pPr>
              <w:spacing w:line="360" w:lineRule="auto"/>
              <w:ind w:firstLine="480" w:firstLineChars="200"/>
              <w:jc w:val="left"/>
              <w:rPr>
                <w:color w:val="auto"/>
                <w:kern w:val="0"/>
                <w:sz w:val="24"/>
              </w:rPr>
            </w:pPr>
            <w:r>
              <w:rPr>
                <w:color w:val="auto"/>
                <w:kern w:val="0"/>
                <w:sz w:val="24"/>
              </w:rPr>
              <w:t>施工噪声主要为安装设备</w:t>
            </w:r>
            <w:r>
              <w:rPr>
                <w:rFonts w:hint="eastAsia"/>
                <w:color w:val="auto"/>
                <w:kern w:val="0"/>
                <w:sz w:val="24"/>
              </w:rPr>
              <w:t>噪声</w:t>
            </w:r>
            <w:r>
              <w:rPr>
                <w:color w:val="auto"/>
                <w:kern w:val="0"/>
                <w:sz w:val="24"/>
              </w:rPr>
              <w:t>，施工期废水主要为施工人员的生活污水</w:t>
            </w:r>
            <w:r>
              <w:rPr>
                <w:rFonts w:hint="eastAsia"/>
                <w:color w:val="auto"/>
                <w:kern w:val="0"/>
                <w:sz w:val="24"/>
              </w:rPr>
              <w:t>，</w:t>
            </w:r>
            <w:r>
              <w:rPr>
                <w:color w:val="auto"/>
                <w:kern w:val="0"/>
                <w:sz w:val="24"/>
              </w:rPr>
              <w:t>产生固体废物为施工期生活垃圾。</w:t>
            </w:r>
          </w:p>
          <w:p>
            <w:pPr>
              <w:spacing w:line="360" w:lineRule="auto"/>
              <w:contextualSpacing/>
              <w:rPr>
                <w:b/>
                <w:bCs/>
                <w:color w:val="auto"/>
                <w:sz w:val="28"/>
              </w:rPr>
            </w:pPr>
            <w:r>
              <w:rPr>
                <w:b/>
                <w:bCs/>
                <w:color w:val="auto"/>
                <w:sz w:val="28"/>
              </w:rPr>
              <w:t>营运期工程分析</w:t>
            </w:r>
          </w:p>
          <w:p>
            <w:pPr>
              <w:spacing w:line="360" w:lineRule="auto"/>
              <w:ind w:firstLine="482" w:firstLineChars="200"/>
              <w:contextualSpacing/>
              <w:jc w:val="left"/>
              <w:rPr>
                <w:b/>
                <w:bCs/>
                <w:color w:val="auto"/>
                <w:sz w:val="24"/>
              </w:rPr>
            </w:pPr>
            <w:r>
              <w:rPr>
                <w:b/>
                <w:bCs/>
                <w:color w:val="auto"/>
                <w:sz w:val="24"/>
              </w:rPr>
              <w:t>1、工艺流程</w:t>
            </w:r>
          </w:p>
          <w:p>
            <w:pPr>
              <w:spacing w:line="360" w:lineRule="auto"/>
              <w:contextualSpacing/>
              <w:jc w:val="center"/>
              <w:rPr>
                <w:b/>
                <w:bCs/>
                <w:color w:val="auto"/>
                <w:sz w:val="24"/>
              </w:rPr>
            </w:pPr>
            <w:r>
              <w:rPr>
                <w:b/>
                <w:color w:val="auto"/>
                <w:sz w:val="24"/>
              </w:rPr>
              <mc:AlternateContent>
                <mc:Choice Requires="wps">
                  <w:drawing>
                    <wp:anchor distT="0" distB="0" distL="114300" distR="114300" simplePos="0" relativeHeight="251660288" behindDoc="0" locked="0" layoutInCell="1" allowOverlap="1">
                      <wp:simplePos x="0" y="0"/>
                      <wp:positionH relativeFrom="column">
                        <wp:posOffset>-137795</wp:posOffset>
                      </wp:positionH>
                      <wp:positionV relativeFrom="paragraph">
                        <wp:posOffset>1511300</wp:posOffset>
                      </wp:positionV>
                      <wp:extent cx="2296795" cy="2743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296795" cy="274320"/>
                              </a:xfrm>
                              <a:prstGeom prst="rect">
                                <a:avLst/>
                              </a:prstGeom>
                              <a:noFill/>
                              <a:ln>
                                <a:noFill/>
                              </a:ln>
                            </wps:spPr>
                            <wps:txbx>
                              <w:txbxContent>
                                <w:p>
                                  <w:r>
                                    <w:rPr>
                                      <w:rFonts w:hint="eastAsia"/>
                                      <w:bCs/>
                                    </w:rPr>
                                    <w:t>用于湿式除渣及锅炉房洒水抑尘</w:t>
                                  </w:r>
                                </w:p>
                              </w:txbxContent>
                            </wps:txbx>
                            <wps:bodyPr upright="1"/>
                          </wps:wsp>
                        </a:graphicData>
                      </a:graphic>
                    </wp:anchor>
                  </w:drawing>
                </mc:Choice>
                <mc:Fallback>
                  <w:pict>
                    <v:shape id="_x0000_s1026" o:spid="_x0000_s1026" o:spt="202" type="#_x0000_t202" style="position:absolute;left:0pt;margin-left:-10.85pt;margin-top:119pt;height:21.6pt;width:180.85pt;z-index:251660288;mso-width-relative:page;mso-height-relative:page;" filled="f" stroked="f" coordsize="21600,21600" o:gfxdata="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cbpt+2AAAAAsBAAAPAAAAAAAAAAEAIAAAACIAAABkcnMvZG93&#10;bnJldi54bWxQSwECFAAUAAAACACHTuJAAZ2EV44BAAAAAwAADgAAAAAAAAABACAAAAAnAQAAZHJz&#10;L2Uyb0RvYy54bWxQSwUGAAAAAAYABgBZAQAAJwUAAAAA&#10;">
                      <v:fill on="f" focussize="0,0"/>
                      <v:stroke on="f"/>
                      <v:imagedata o:title=""/>
                      <o:lock v:ext="edit" aspectratio="f"/>
                      <v:textbox>
                        <w:txbxContent>
                          <w:p>
                            <w:r>
                              <w:rPr>
                                <w:rFonts w:hint="eastAsia"/>
                                <w:bCs/>
                              </w:rPr>
                              <w:t>用于湿式除渣及锅炉房洒水抑尘</w:t>
                            </w:r>
                          </w:p>
                        </w:txbxContent>
                      </v:textbox>
                    </v:shape>
                  </w:pict>
                </mc:Fallback>
              </mc:AlternateContent>
            </w:r>
            <w:r>
              <w:rPr>
                <w:b/>
                <w:color w:val="auto"/>
                <w:sz w:val="24"/>
              </w:rPr>
              <mc:AlternateContent>
                <mc:Choice Requires="wpc">
                  <w:drawing>
                    <wp:inline distT="0" distB="0" distL="114300" distR="114300">
                      <wp:extent cx="5450840" cy="1785620"/>
                      <wp:effectExtent l="0" t="0" r="0" b="0"/>
                      <wp:docPr id="129" name="画布 1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6" name="矩形 96"/>
                              <wps:cNvSpPr/>
                              <wps:spPr>
                                <a:xfrm>
                                  <a:off x="1049020" y="563880"/>
                                  <a:ext cx="1808480" cy="2787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锅炉（低氮燃烧技术）</w:t>
                                    </w:r>
                                  </w:p>
                                </w:txbxContent>
                              </wps:txbx>
                              <wps:bodyPr upright="1"/>
                            </wps:wsp>
                            <wps:wsp>
                              <wps:cNvPr id="97" name="直接箭头连接符 97"/>
                              <wps:cNvCnPr/>
                              <wps:spPr>
                                <a:xfrm>
                                  <a:off x="1325880" y="307975"/>
                                  <a:ext cx="1270" cy="244475"/>
                                </a:xfrm>
                                <a:prstGeom prst="straightConnector1">
                                  <a:avLst/>
                                </a:prstGeom>
                                <a:ln w="9525" cap="flat" cmpd="sng">
                                  <a:solidFill>
                                    <a:srgbClr val="000000"/>
                                  </a:solidFill>
                                  <a:prstDash val="solid"/>
                                  <a:headEnd type="none" w="med" len="med"/>
                                  <a:tailEnd type="triangle" w="med" len="med"/>
                                </a:ln>
                              </wps:spPr>
                              <wps:bodyPr/>
                            </wps:wsp>
                            <wps:wsp>
                              <wps:cNvPr id="98" name="矩形 98"/>
                              <wps:cNvSpPr/>
                              <wps:spPr>
                                <a:xfrm>
                                  <a:off x="748665" y="43180"/>
                                  <a:ext cx="1136015" cy="258445"/>
                                </a:xfrm>
                                <a:prstGeom prst="rect">
                                  <a:avLst/>
                                </a:prstGeom>
                                <a:solidFill>
                                  <a:srgbClr val="FFFFFF"/>
                                </a:solidFill>
                                <a:ln>
                                  <a:noFill/>
                                </a:ln>
                              </wps:spPr>
                              <wps:txbx>
                                <w:txbxContent>
                                  <w:p>
                                    <w:pPr>
                                      <w:jc w:val="center"/>
                                    </w:pPr>
                                    <w:r>
                                      <w:rPr>
                                        <w:rFonts w:hint="eastAsia"/>
                                      </w:rPr>
                                      <w:t>秸秆</w:t>
                                    </w:r>
                                  </w:p>
                                  <w:p/>
                                </w:txbxContent>
                              </wps:txbx>
                              <wps:bodyPr upright="1"/>
                            </wps:wsp>
                            <wps:wsp>
                              <wps:cNvPr id="99" name="直接箭头连接符 99"/>
                              <wps:cNvCnPr/>
                              <wps:spPr>
                                <a:xfrm>
                                  <a:off x="4431665" y="694055"/>
                                  <a:ext cx="247650" cy="1270"/>
                                </a:xfrm>
                                <a:prstGeom prst="straightConnector1">
                                  <a:avLst/>
                                </a:prstGeom>
                                <a:ln w="9525" cap="flat" cmpd="sng">
                                  <a:solidFill>
                                    <a:srgbClr val="000000"/>
                                  </a:solidFill>
                                  <a:prstDash val="dash"/>
                                  <a:headEnd type="none" w="med" len="med"/>
                                  <a:tailEnd type="triangle" w="med" len="med"/>
                                </a:ln>
                              </wps:spPr>
                              <wps:bodyPr/>
                            </wps:wsp>
                            <wps:wsp>
                              <wps:cNvPr id="100" name="文本框 100"/>
                              <wps:cNvSpPr txBox="1"/>
                              <wps:spPr>
                                <a:xfrm>
                                  <a:off x="4575810" y="319405"/>
                                  <a:ext cx="771525" cy="1054735"/>
                                </a:xfrm>
                                <a:prstGeom prst="rect">
                                  <a:avLst/>
                                </a:prstGeom>
                                <a:noFill/>
                                <a:ln>
                                  <a:noFill/>
                                </a:ln>
                              </wps:spPr>
                              <wps:txbx>
                                <w:txbxContent>
                                  <w:p>
                                    <w:pPr>
                                      <w:jc w:val="center"/>
                                    </w:pPr>
                                    <w:r>
                                      <w:rPr>
                                        <w:rFonts w:hint="eastAsia"/>
                                      </w:rPr>
                                      <w:t>颗粒物、SO</w:t>
                                    </w:r>
                                    <w:r>
                                      <w:rPr>
                                        <w:rFonts w:hint="eastAsia"/>
                                        <w:vertAlign w:val="subscript"/>
                                      </w:rPr>
                                      <w:t>2</w:t>
                                    </w:r>
                                    <w:r>
                                      <w:rPr>
                                        <w:rFonts w:hint="eastAsia"/>
                                      </w:rPr>
                                      <w:t>、NO</w:t>
                                    </w:r>
                                    <w:r>
                                      <w:rPr>
                                        <w:rFonts w:hint="eastAsia"/>
                                        <w:vertAlign w:val="subscript"/>
                                      </w:rPr>
                                      <w:t>X</w:t>
                                    </w:r>
                                    <w:r>
                                      <w:rPr>
                                        <w:rFonts w:hint="eastAsia"/>
                                      </w:rPr>
                                      <w:t>、烟气黑度、噪声</w:t>
                                    </w:r>
                                  </w:p>
                                </w:txbxContent>
                              </wps:txbx>
                              <wps:bodyPr upright="1"/>
                            </wps:wsp>
                            <wps:wsp>
                              <wps:cNvPr id="101" name="文本框 101"/>
                              <wps:cNvSpPr txBox="1"/>
                              <wps:spPr>
                                <a:xfrm>
                                  <a:off x="405130" y="1118235"/>
                                  <a:ext cx="516890" cy="295275"/>
                                </a:xfrm>
                                <a:prstGeom prst="rect">
                                  <a:avLst/>
                                </a:prstGeom>
                                <a:noFill/>
                                <a:ln>
                                  <a:noFill/>
                                </a:ln>
                              </wps:spPr>
                              <wps:txbx>
                                <w:txbxContent>
                                  <w:p>
                                    <w:pPr>
                                      <w:jc w:val="center"/>
                                    </w:pPr>
                                    <w:r>
                                      <w:rPr>
                                        <w:rFonts w:hint="eastAsia"/>
                                      </w:rPr>
                                      <w:t>废水</w:t>
                                    </w:r>
                                  </w:p>
                                </w:txbxContent>
                              </wps:txbx>
                              <wps:bodyPr upright="1"/>
                            </wps:wsp>
                            <wps:wsp>
                              <wps:cNvPr id="102" name="直接箭头连接符 102"/>
                              <wps:cNvCnPr/>
                              <wps:spPr>
                                <a:xfrm>
                                  <a:off x="2860675" y="704850"/>
                                  <a:ext cx="748665" cy="635"/>
                                </a:xfrm>
                                <a:prstGeom prst="straightConnector1">
                                  <a:avLst/>
                                </a:prstGeom>
                                <a:ln w="9525" cap="flat" cmpd="sng">
                                  <a:solidFill>
                                    <a:srgbClr val="000000"/>
                                  </a:solidFill>
                                  <a:prstDash val="solid"/>
                                  <a:headEnd type="none" w="med" len="med"/>
                                  <a:tailEnd type="triangle" w="med" len="med"/>
                                </a:ln>
                              </wps:spPr>
                              <wps:bodyPr/>
                            </wps:wsp>
                            <wps:wsp>
                              <wps:cNvPr id="103" name="直接箭头连接符 103"/>
                              <wps:cNvCnPr/>
                              <wps:spPr>
                                <a:xfrm flipH="1">
                                  <a:off x="1510665" y="850265"/>
                                  <a:ext cx="1270" cy="304800"/>
                                </a:xfrm>
                                <a:prstGeom prst="straightConnector1">
                                  <a:avLst/>
                                </a:prstGeom>
                                <a:ln w="9525" cap="flat" cmpd="sng">
                                  <a:solidFill>
                                    <a:srgbClr val="000000"/>
                                  </a:solidFill>
                                  <a:prstDash val="dash"/>
                                  <a:headEnd type="none" w="med" len="med"/>
                                  <a:tailEnd type="triangle" w="med" len="med"/>
                                </a:ln>
                              </wps:spPr>
                              <wps:bodyPr/>
                            </wps:wsp>
                            <wps:wsp>
                              <wps:cNvPr id="104" name="文本框 104"/>
                              <wps:cNvSpPr txBox="1"/>
                              <wps:spPr>
                                <a:xfrm>
                                  <a:off x="1202690" y="1095375"/>
                                  <a:ext cx="627380" cy="320040"/>
                                </a:xfrm>
                                <a:prstGeom prst="rect">
                                  <a:avLst/>
                                </a:prstGeom>
                                <a:noFill/>
                                <a:ln>
                                  <a:noFill/>
                                </a:ln>
                              </wps:spPr>
                              <wps:txbx>
                                <w:txbxContent>
                                  <w:p>
                                    <w:pPr>
                                      <w:jc w:val="center"/>
                                    </w:pPr>
                                    <w:r>
                                      <w:rPr>
                                        <w:rFonts w:hint="eastAsia"/>
                                      </w:rPr>
                                      <w:t>炉渣</w:t>
                                    </w:r>
                                  </w:p>
                                </w:txbxContent>
                              </wps:txbx>
                              <wps:bodyPr upright="1"/>
                            </wps:wsp>
                            <wps:wsp>
                              <wps:cNvPr id="105" name="直接箭头连接符 105"/>
                              <wps:cNvCnPr/>
                              <wps:spPr>
                                <a:xfrm>
                                  <a:off x="1511935" y="1513840"/>
                                  <a:ext cx="840740" cy="635"/>
                                </a:xfrm>
                                <a:prstGeom prst="straightConnector1">
                                  <a:avLst/>
                                </a:prstGeom>
                                <a:ln w="9525" cap="flat" cmpd="sng">
                                  <a:solidFill>
                                    <a:srgbClr val="000000"/>
                                  </a:solidFill>
                                  <a:prstDash val="solid"/>
                                  <a:headEnd type="none" w="med" len="med"/>
                                  <a:tailEnd type="triangle" w="med" len="med"/>
                                </a:ln>
                              </wps:spPr>
                              <wps:bodyPr/>
                            </wps:wsp>
                            <wps:wsp>
                              <wps:cNvPr id="106" name="直接箭头连接符 106"/>
                              <wps:cNvCnPr/>
                              <wps:spPr>
                                <a:xfrm flipV="1">
                                  <a:off x="1511935" y="1321435"/>
                                  <a:ext cx="635" cy="184150"/>
                                </a:xfrm>
                                <a:prstGeom prst="straightConnector1">
                                  <a:avLst/>
                                </a:prstGeom>
                                <a:ln w="9525" cap="flat" cmpd="sng">
                                  <a:solidFill>
                                    <a:srgbClr val="000000"/>
                                  </a:solidFill>
                                  <a:prstDash val="solid"/>
                                  <a:headEnd type="none" w="med" len="med"/>
                                  <a:tailEnd type="none" w="med" len="med"/>
                                </a:ln>
                              </wps:spPr>
                              <wps:bodyPr/>
                            </wps:wsp>
                            <wps:wsp>
                              <wps:cNvPr id="107" name="文本框 107"/>
                              <wps:cNvSpPr txBox="1"/>
                              <wps:spPr>
                                <a:xfrm>
                                  <a:off x="2221865" y="1391920"/>
                                  <a:ext cx="735330" cy="320040"/>
                                </a:xfrm>
                                <a:prstGeom prst="rect">
                                  <a:avLst/>
                                </a:prstGeom>
                                <a:noFill/>
                                <a:ln>
                                  <a:noFill/>
                                </a:ln>
                              </wps:spPr>
                              <wps:txbx>
                                <w:txbxContent>
                                  <w:p>
                                    <w:pPr>
                                      <w:jc w:val="center"/>
                                    </w:pPr>
                                    <w:r>
                                      <w:rPr>
                                        <w:rFonts w:hint="eastAsia"/>
                                      </w:rPr>
                                      <w:t>灰渣</w:t>
                                    </w:r>
                                  </w:p>
                                </w:txbxContent>
                              </wps:txbx>
                              <wps:bodyPr upright="1"/>
                            </wps:wsp>
                            <wps:wsp>
                              <wps:cNvPr id="108" name="直接箭头连接符 108"/>
                              <wps:cNvCnPr/>
                              <wps:spPr>
                                <a:xfrm>
                                  <a:off x="671195" y="1321435"/>
                                  <a:ext cx="1270" cy="244475"/>
                                </a:xfrm>
                                <a:prstGeom prst="straightConnector1">
                                  <a:avLst/>
                                </a:prstGeom>
                                <a:ln w="9525" cap="flat" cmpd="sng">
                                  <a:solidFill>
                                    <a:srgbClr val="000000"/>
                                  </a:solidFill>
                                  <a:prstDash val="solid"/>
                                  <a:headEnd type="none" w="med" len="med"/>
                                  <a:tailEnd type="triangle" w="med" len="med"/>
                                </a:ln>
                              </wps:spPr>
                              <wps:bodyPr/>
                            </wps:wsp>
                            <wps:wsp>
                              <wps:cNvPr id="109" name="矩形 109"/>
                              <wps:cNvSpPr/>
                              <wps:spPr>
                                <a:xfrm>
                                  <a:off x="3593465" y="558165"/>
                                  <a:ext cx="828675" cy="2787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多管+布袋</w:t>
                                    </w:r>
                                  </w:p>
                                </w:txbxContent>
                              </wps:txbx>
                              <wps:bodyPr upright="1"/>
                            </wps:wsp>
                            <wps:wsp>
                              <wps:cNvPr id="110" name="直接箭头连接符 110"/>
                              <wps:cNvCnPr/>
                              <wps:spPr>
                                <a:xfrm flipH="1">
                                  <a:off x="4031615" y="850265"/>
                                  <a:ext cx="1270" cy="304800"/>
                                </a:xfrm>
                                <a:prstGeom prst="straightConnector1">
                                  <a:avLst/>
                                </a:prstGeom>
                                <a:ln w="9525" cap="flat" cmpd="sng">
                                  <a:solidFill>
                                    <a:srgbClr val="000000"/>
                                  </a:solidFill>
                                  <a:prstDash val="dash"/>
                                  <a:headEnd type="none" w="med" len="med"/>
                                  <a:tailEnd type="triangle" w="med" len="med"/>
                                </a:ln>
                              </wps:spPr>
                              <wps:bodyPr/>
                            </wps:wsp>
                            <wps:wsp>
                              <wps:cNvPr id="111" name="文本框 111"/>
                              <wps:cNvSpPr txBox="1"/>
                              <wps:spPr>
                                <a:xfrm>
                                  <a:off x="3847465" y="1111250"/>
                                  <a:ext cx="398145" cy="245110"/>
                                </a:xfrm>
                                <a:prstGeom prst="rect">
                                  <a:avLst/>
                                </a:prstGeom>
                                <a:noFill/>
                                <a:ln>
                                  <a:noFill/>
                                </a:ln>
                              </wps:spPr>
                              <wps:txbx>
                                <w:txbxContent>
                                  <w:p>
                                    <w:pPr>
                                      <w:jc w:val="center"/>
                                    </w:pPr>
                                    <w:r>
                                      <w:rPr>
                                        <w:rFonts w:hint="eastAsia"/>
                                      </w:rPr>
                                      <w:t>灰</w:t>
                                    </w:r>
                                  </w:p>
                                </w:txbxContent>
                              </wps:txbx>
                              <wps:bodyPr upright="1"/>
                            </wps:wsp>
                            <wps:wsp>
                              <wps:cNvPr id="112" name="直接箭头连接符 112"/>
                              <wps:cNvCnPr/>
                              <wps:spPr>
                                <a:xfrm flipH="1" flipV="1">
                                  <a:off x="2559050" y="1249045"/>
                                  <a:ext cx="1270" cy="191135"/>
                                </a:xfrm>
                                <a:prstGeom prst="straightConnector1">
                                  <a:avLst/>
                                </a:prstGeom>
                                <a:ln w="9525" cap="flat" cmpd="sng">
                                  <a:solidFill>
                                    <a:srgbClr val="000000"/>
                                  </a:solidFill>
                                  <a:prstDash val="dash"/>
                                  <a:headEnd type="none" w="med" len="med"/>
                                  <a:tailEnd type="triangle" w="med" len="med"/>
                                </a:ln>
                              </wps:spPr>
                              <wps:bodyPr/>
                            </wps:wsp>
                            <wps:wsp>
                              <wps:cNvPr id="113" name="文本框 113"/>
                              <wps:cNvSpPr txBox="1"/>
                              <wps:spPr>
                                <a:xfrm>
                                  <a:off x="1550035" y="105410"/>
                                  <a:ext cx="627380" cy="320040"/>
                                </a:xfrm>
                                <a:prstGeom prst="rect">
                                  <a:avLst/>
                                </a:prstGeom>
                                <a:noFill/>
                                <a:ln>
                                  <a:noFill/>
                                </a:ln>
                              </wps:spPr>
                              <wps:txbx>
                                <w:txbxContent>
                                  <w:p>
                                    <w:pPr>
                                      <w:jc w:val="center"/>
                                    </w:pPr>
                                    <w:r>
                                      <w:rPr>
                                        <w:rFonts w:hint="eastAsia"/>
                                      </w:rPr>
                                      <w:t>噪声</w:t>
                                    </w:r>
                                  </w:p>
                                </w:txbxContent>
                              </wps:txbx>
                              <wps:bodyPr upright="1"/>
                            </wps:wsp>
                            <wps:wsp>
                              <wps:cNvPr id="114" name="文本框 114"/>
                              <wps:cNvSpPr txBox="1"/>
                              <wps:spPr>
                                <a:xfrm>
                                  <a:off x="2247900" y="1054100"/>
                                  <a:ext cx="627380" cy="320040"/>
                                </a:xfrm>
                                <a:prstGeom prst="rect">
                                  <a:avLst/>
                                </a:prstGeom>
                                <a:noFill/>
                                <a:ln>
                                  <a:noFill/>
                                </a:ln>
                              </wps:spPr>
                              <wps:txbx>
                                <w:txbxContent>
                                  <w:p>
                                    <w:pPr>
                                      <w:jc w:val="center"/>
                                    </w:pPr>
                                    <w:r>
                                      <w:rPr>
                                        <w:rFonts w:hint="eastAsia"/>
                                      </w:rPr>
                                      <w:t>粉尘</w:t>
                                    </w:r>
                                  </w:p>
                                </w:txbxContent>
                              </wps:txbx>
                              <wps:bodyPr upright="1"/>
                            </wps:wsp>
                            <wps:wsp>
                              <wps:cNvPr id="115" name="直接箭头连接符 115"/>
                              <wps:cNvCnPr/>
                              <wps:spPr>
                                <a:xfrm flipH="1" flipV="1">
                                  <a:off x="1883410" y="361315"/>
                                  <a:ext cx="1270" cy="191135"/>
                                </a:xfrm>
                                <a:prstGeom prst="straightConnector1">
                                  <a:avLst/>
                                </a:prstGeom>
                                <a:ln w="9525" cap="flat" cmpd="sng">
                                  <a:solidFill>
                                    <a:srgbClr val="000000"/>
                                  </a:solidFill>
                                  <a:prstDash val="dash"/>
                                  <a:headEnd type="none" w="med" len="med"/>
                                  <a:tailEnd type="triangle" w="med" len="med"/>
                                </a:ln>
                              </wps:spPr>
                              <wps:bodyPr/>
                            </wps:wsp>
                            <wps:wsp>
                              <wps:cNvPr id="116" name="文本框 116"/>
                              <wps:cNvSpPr txBox="1"/>
                              <wps:spPr>
                                <a:xfrm>
                                  <a:off x="2815590" y="457200"/>
                                  <a:ext cx="736600" cy="320040"/>
                                </a:xfrm>
                                <a:prstGeom prst="rect">
                                  <a:avLst/>
                                </a:prstGeom>
                                <a:noFill/>
                                <a:ln>
                                  <a:noFill/>
                                </a:ln>
                              </wps:spPr>
                              <wps:txbx>
                                <w:txbxContent>
                                  <w:p>
                                    <w:pPr>
                                      <w:jc w:val="center"/>
                                    </w:pPr>
                                    <w:r>
                                      <w:rPr>
                                        <w:rFonts w:hint="eastAsia"/>
                                      </w:rPr>
                                      <w:t>锅炉烟气</w:t>
                                    </w:r>
                                  </w:p>
                                </w:txbxContent>
                              </wps:txbx>
                              <wps:bodyPr upright="1"/>
                            </wps:wsp>
                            <wps:wsp>
                              <wps:cNvPr id="117" name="直接箭头连接符 117"/>
                              <wps:cNvCnPr/>
                              <wps:spPr>
                                <a:xfrm flipV="1">
                                  <a:off x="4049395" y="1330960"/>
                                  <a:ext cx="635" cy="184150"/>
                                </a:xfrm>
                                <a:prstGeom prst="straightConnector1">
                                  <a:avLst/>
                                </a:prstGeom>
                                <a:ln w="9525" cap="flat" cmpd="sng">
                                  <a:solidFill>
                                    <a:srgbClr val="000000"/>
                                  </a:solidFill>
                                  <a:prstDash val="solid"/>
                                  <a:headEnd type="none" w="med" len="med"/>
                                  <a:tailEnd type="none" w="med" len="med"/>
                                </a:ln>
                              </wps:spPr>
                              <wps:bodyPr/>
                            </wps:wsp>
                            <wps:wsp>
                              <wps:cNvPr id="118" name="直接箭头连接符 118"/>
                              <wps:cNvCnPr/>
                              <wps:spPr>
                                <a:xfrm flipH="1">
                                  <a:off x="2799080" y="1505585"/>
                                  <a:ext cx="1231265" cy="11430"/>
                                </a:xfrm>
                                <a:prstGeom prst="straightConnector1">
                                  <a:avLst/>
                                </a:prstGeom>
                                <a:ln w="9525" cap="flat" cmpd="sng">
                                  <a:solidFill>
                                    <a:srgbClr val="000000"/>
                                  </a:solidFill>
                                  <a:prstDash val="solid"/>
                                  <a:headEnd type="none" w="med" len="med"/>
                                  <a:tailEnd type="triangle" w="med" len="med"/>
                                </a:ln>
                              </wps:spPr>
                              <wps:bodyPr/>
                            </wps:wsp>
                            <wps:wsp>
                              <wps:cNvPr id="119" name="矩形 119"/>
                              <wps:cNvSpPr/>
                              <wps:spPr>
                                <a:xfrm>
                                  <a:off x="190500" y="105410"/>
                                  <a:ext cx="613410" cy="258445"/>
                                </a:xfrm>
                                <a:prstGeom prst="rect">
                                  <a:avLst/>
                                </a:prstGeom>
                                <a:noFill/>
                                <a:ln>
                                  <a:noFill/>
                                </a:ln>
                              </wps:spPr>
                              <wps:txbx>
                                <w:txbxContent>
                                  <w:p>
                                    <w:r>
                                      <w:rPr>
                                        <w:rFonts w:hint="eastAsia"/>
                                      </w:rPr>
                                      <w:t>新鲜水</w:t>
                                    </w:r>
                                  </w:p>
                                </w:txbxContent>
                              </wps:txbx>
                              <wps:bodyPr upright="1"/>
                            </wps:wsp>
                            <wps:wsp>
                              <wps:cNvPr id="120" name="直接箭头连接符 120"/>
                              <wps:cNvCnPr/>
                              <wps:spPr>
                                <a:xfrm>
                                  <a:off x="476250" y="302895"/>
                                  <a:ext cx="635" cy="241935"/>
                                </a:xfrm>
                                <a:prstGeom prst="straightConnector1">
                                  <a:avLst/>
                                </a:prstGeom>
                                <a:ln w="9525" cap="flat" cmpd="sng">
                                  <a:solidFill>
                                    <a:srgbClr val="000000"/>
                                  </a:solidFill>
                                  <a:prstDash val="solid"/>
                                  <a:headEnd type="none" w="med" len="med"/>
                                  <a:tailEnd type="triangle" w="med" len="med"/>
                                </a:ln>
                              </wps:spPr>
                              <wps:bodyPr/>
                            </wps:wsp>
                            <wps:wsp>
                              <wps:cNvPr id="121" name="矩形 121"/>
                              <wps:cNvSpPr/>
                              <wps:spPr>
                                <a:xfrm>
                                  <a:off x="115570" y="545465"/>
                                  <a:ext cx="739140" cy="2787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软化装置</w:t>
                                    </w:r>
                                  </w:p>
                                </w:txbxContent>
                              </wps:txbx>
                              <wps:bodyPr upright="1"/>
                            </wps:wsp>
                            <wps:wsp>
                              <wps:cNvPr id="122" name="直接箭头连接符 122"/>
                              <wps:cNvCnPr/>
                              <wps:spPr>
                                <a:xfrm>
                                  <a:off x="859790" y="685165"/>
                                  <a:ext cx="189230" cy="8890"/>
                                </a:xfrm>
                                <a:prstGeom prst="straightConnector1">
                                  <a:avLst/>
                                </a:prstGeom>
                                <a:ln w="9525" cap="flat" cmpd="sng">
                                  <a:solidFill>
                                    <a:srgbClr val="000000"/>
                                  </a:solidFill>
                                  <a:prstDash val="solid"/>
                                  <a:headEnd type="none" w="med" len="med"/>
                                  <a:tailEnd type="triangle" w="med" len="med"/>
                                </a:ln>
                              </wps:spPr>
                              <wps:bodyPr/>
                            </wps:wsp>
                            <wps:wsp>
                              <wps:cNvPr id="123" name="肘形连接符 123"/>
                              <wps:cNvCnPr/>
                              <wps:spPr>
                                <a:xfrm rot="5400000">
                                  <a:off x="731520" y="932180"/>
                                  <a:ext cx="402590" cy="234950"/>
                                </a:xfrm>
                                <a:prstGeom prst="bentConnector2">
                                  <a:avLst/>
                                </a:prstGeom>
                                <a:ln w="9525" cap="flat" cmpd="sng">
                                  <a:solidFill>
                                    <a:srgbClr val="000000"/>
                                  </a:solidFill>
                                  <a:prstDash val="dash"/>
                                  <a:miter/>
                                  <a:headEnd type="none" w="med" len="med"/>
                                  <a:tailEnd type="triangle" w="med" len="med"/>
                                </a:ln>
                              </wps:spPr>
                              <wps:bodyPr/>
                            </wps:wsp>
                            <wps:wsp>
                              <wps:cNvPr id="124" name="直接箭头连接符 124"/>
                              <wps:cNvCnPr/>
                              <wps:spPr>
                                <a:xfrm flipH="1">
                                  <a:off x="4321810" y="850265"/>
                                  <a:ext cx="1270" cy="304800"/>
                                </a:xfrm>
                                <a:prstGeom prst="straightConnector1">
                                  <a:avLst/>
                                </a:prstGeom>
                                <a:ln w="9525" cap="flat" cmpd="sng">
                                  <a:solidFill>
                                    <a:srgbClr val="000000"/>
                                  </a:solidFill>
                                  <a:prstDash val="dash"/>
                                  <a:headEnd type="none" w="med" len="med"/>
                                  <a:tailEnd type="triangle" w="med" len="med"/>
                                </a:ln>
                              </wps:spPr>
                              <wps:bodyPr/>
                            </wps:wsp>
                            <wps:wsp>
                              <wps:cNvPr id="125" name="文本框 125"/>
                              <wps:cNvSpPr txBox="1"/>
                              <wps:spPr>
                                <a:xfrm>
                                  <a:off x="4044315" y="1111250"/>
                                  <a:ext cx="592455" cy="286385"/>
                                </a:xfrm>
                                <a:prstGeom prst="rect">
                                  <a:avLst/>
                                </a:prstGeom>
                                <a:noFill/>
                                <a:ln>
                                  <a:noFill/>
                                </a:ln>
                              </wps:spPr>
                              <wps:txbx>
                                <w:txbxContent>
                                  <w:p>
                                    <w:pPr>
                                      <w:jc w:val="center"/>
                                    </w:pPr>
                                    <w:r>
                                      <w:rPr>
                                        <w:rFonts w:hint="eastAsia"/>
                                      </w:rPr>
                                      <w:t>废布袋</w:t>
                                    </w:r>
                                  </w:p>
                                </w:txbxContent>
                              </wps:txbx>
                              <wps:bodyPr upright="1"/>
                            </wps:wsp>
                            <wps:wsp>
                              <wps:cNvPr id="126" name="直接箭头连接符 126"/>
                              <wps:cNvCnPr/>
                              <wps:spPr>
                                <a:xfrm flipH="1">
                                  <a:off x="672465" y="824230"/>
                                  <a:ext cx="1270" cy="304800"/>
                                </a:xfrm>
                                <a:prstGeom prst="straightConnector1">
                                  <a:avLst/>
                                </a:prstGeom>
                                <a:ln w="9525" cap="flat" cmpd="sng">
                                  <a:solidFill>
                                    <a:srgbClr val="000000"/>
                                  </a:solidFill>
                                  <a:prstDash val="dash"/>
                                  <a:headEnd type="none" w="med" len="med"/>
                                  <a:tailEnd type="triangle" w="med" len="med"/>
                                </a:ln>
                              </wps:spPr>
                              <wps:bodyPr/>
                            </wps:wsp>
                            <wps:wsp>
                              <wps:cNvPr id="127" name="直接箭头连接符 127"/>
                              <wps:cNvCnPr/>
                              <wps:spPr>
                                <a:xfrm flipH="1">
                                  <a:off x="270510" y="824230"/>
                                  <a:ext cx="1270" cy="304800"/>
                                </a:xfrm>
                                <a:prstGeom prst="straightConnector1">
                                  <a:avLst/>
                                </a:prstGeom>
                                <a:ln w="9525" cap="flat" cmpd="sng">
                                  <a:solidFill>
                                    <a:srgbClr val="000000"/>
                                  </a:solidFill>
                                  <a:prstDash val="dash"/>
                                  <a:headEnd type="none" w="med" len="med"/>
                                  <a:tailEnd type="triangle" w="med" len="med"/>
                                </a:ln>
                              </wps:spPr>
                              <wps:bodyPr/>
                            </wps:wsp>
                            <wps:wsp>
                              <wps:cNvPr id="128" name="文本框 128"/>
                              <wps:cNvSpPr txBox="1"/>
                              <wps:spPr>
                                <a:xfrm>
                                  <a:off x="0" y="1095375"/>
                                  <a:ext cx="583565" cy="466725"/>
                                </a:xfrm>
                                <a:prstGeom prst="rect">
                                  <a:avLst/>
                                </a:prstGeom>
                                <a:noFill/>
                                <a:ln>
                                  <a:noFill/>
                                </a:ln>
                              </wps:spPr>
                              <wps:txbx>
                                <w:txbxContent>
                                  <w:p>
                                    <w:pPr>
                                      <w:jc w:val="center"/>
                                      <w:rPr>
                                        <w:sz w:val="18"/>
                                        <w:szCs w:val="18"/>
                                      </w:rPr>
                                    </w:pPr>
                                    <w:r>
                                      <w:rPr>
                                        <w:rFonts w:hint="eastAsia"/>
                                        <w:sz w:val="18"/>
                                        <w:szCs w:val="18"/>
                                      </w:rPr>
                                      <w:t>固废、噪声</w:t>
                                    </w:r>
                                  </w:p>
                                </w:txbxContent>
                              </wps:txbx>
                              <wps:bodyPr upright="1"/>
                            </wps:wsp>
                          </wpc:wpc>
                        </a:graphicData>
                      </a:graphic>
                    </wp:inline>
                  </w:drawing>
                </mc:Choice>
                <mc:Fallback>
                  <w:pict>
                    <v:group id="_x0000_s1026" o:spid="_x0000_s1026" o:spt="203" style="height:140.6pt;width:429.2pt;" coordsize="5450840,1785620" editas="canvas" o:gfxdata="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">
                      <o:lock v:ext="edit" aspectratio="f"/>
                      <v:shape id="_x0000_s1026" o:spid="_x0000_s1026" style="position:absolute;left:0;top:0;height:1785620;width:5450840;" filled="f" stroked="f" coordsize="21600,21600" o:gfxdata="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">
                        <v:fill on="f" focussize="0,0"/>
                        <v:stroke on="f"/>
                        <v:imagedata o:title=""/>
                        <o:lock v:ext="edit" aspectratio="t"/>
                      </v:shape>
                      <v:rect id="_x0000_s1026" o:spid="_x0000_s1026" o:spt="1" style="position:absolute;left:1049020;top:563880;height:278765;width:1808480;" fillcolor="#FFFFFF" filled="t" stroked="t" coordsize="21600,21600" o:gfxdata="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19vxNUAAAAFAQAADwAAAAAAAAABACAAAAAiAAAAZHJzL2Rvd25yZXYueG1sUEsBAhQAFAAA&#10;AAgAh07iQKTaGCTyAQAA6AMAAA4AAAAAAAAAAQAgAAAAJAEAAGRycy9lMm9Eb2MueG1sUEsFBgAA&#10;AAAGAAYAWQEAAIgFAAAAAA==&#10;">
                        <v:fill on="t" focussize="0,0"/>
                        <v:stroke color="#000000" joinstyle="miter"/>
                        <v:imagedata o:title=""/>
                        <o:lock v:ext="edit" aspectratio="f"/>
                        <v:textbox>
                          <w:txbxContent>
                            <w:p>
                              <w:pPr>
                                <w:jc w:val="center"/>
                              </w:pPr>
                              <w:r>
                                <w:rPr>
                                  <w:rFonts w:hint="eastAsia"/>
                                </w:rPr>
                                <w:t>锅炉（低氮燃烧技术）</w:t>
                              </w:r>
                            </w:p>
                          </w:txbxContent>
                        </v:textbox>
                      </v:rect>
                      <v:shape id="_x0000_s1026" o:spid="_x0000_s1026" o:spt="32" type="#_x0000_t32" style="position:absolute;left:1325880;top:307975;height:244475;width:1270;" filled="f" stroked="t" coordsize="21600,21600" o:gfxdata="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dI5J01wAAAAUBAAAPAAAAAAAAAAEAIAAAACIAAABkcnMvZG93bnJldi54bWxQ&#10;SwECFAAUAAAACACHTuJAdHhiavgBAACxAwAADgAAAAAAAAABACAAAAAmAQAAZHJzL2Uyb0RvYy54&#10;bWxQSwUGAAAAAAYABgBZAQAAkAUAAAAA&#10;">
                        <v:fill on="f" focussize="0,0"/>
                        <v:stroke color="#000000" joinstyle="round" endarrow="block"/>
                        <v:imagedata o:title=""/>
                        <o:lock v:ext="edit" aspectratio="f"/>
                      </v:shape>
                      <v:rect id="_x0000_s1026" o:spid="_x0000_s1026" o:spt="1" style="position:absolute;left:748665;top:43180;height:258445;width:1136015;" fillcolor="#FFFFFF" filled="t" stroked="f" coordsize="21600,21600" o:gfxdata="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GWmoJrVAAAABQEAAA8AAAAA&#10;AAAAAQAgAAAAIgAAAGRycy9kb3ducmV2LnhtbFBLAQIUABQAAAAIAIdO4kDEf4l5pQEAACcDAAAO&#10;AAAAAAAAAAEAIAAAACQBAABkcnMvZTJvRG9jLnhtbFBLBQYAAAAABgAGAFkBAAA7BQAAAAA=&#10;">
                        <v:fill on="t" focussize="0,0"/>
                        <v:stroke on="f"/>
                        <v:imagedata o:title=""/>
                        <o:lock v:ext="edit" aspectratio="f"/>
                        <v:textbox>
                          <w:txbxContent>
                            <w:p>
                              <w:pPr>
                                <w:jc w:val="center"/>
                              </w:pPr>
                              <w:r>
                                <w:rPr>
                                  <w:rFonts w:hint="eastAsia"/>
                                </w:rPr>
                                <w:t>秸秆</w:t>
                              </w:r>
                            </w:p>
                            <w:p/>
                          </w:txbxContent>
                        </v:textbox>
                      </v:rect>
                      <v:shape id="_x0000_s1026" o:spid="_x0000_s1026" o:spt="32" type="#_x0000_t32" style="position:absolute;left:4431665;top:694055;height:1270;width:247650;" filled="f" stroked="t" coordsize="21600,21600" o:gfxdata="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vyhj9IAAAAFAQAADwAAAAAAAAABACAAAAAiAAAAZHJzL2Rvd25yZXYueG1sUEsB&#10;AhQAFAAAAAgAh07iQFvKJT37AQAAsAMAAA4AAAAAAAAAAQAgAAAAIQEAAGRycy9lMm9Eb2MueG1s&#10;UEsFBgAAAAAGAAYAWQEAAI4FAAAAAA==&#10;">
                        <v:fill on="f" focussize="0,0"/>
                        <v:stroke color="#000000" joinstyle="round" dashstyle="dash" endarrow="block"/>
                        <v:imagedata o:title=""/>
                        <o:lock v:ext="edit" aspectratio="f"/>
                      </v:shape>
                      <v:shape id="_x0000_s1026" o:spid="_x0000_s1026" o:spt="202" type="#_x0000_t202" style="position:absolute;left:4575810;top:319405;height:1054735;width:771525;" filled="f" stroked="f" coordsize="21600,21600" o:gfxdata="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G4AzT1AAAAAUBAAAPAAAAAAAAAAEAIAAA&#10;ACIAAABkcnMvZG93bnJldi54bWxQSwECFAAUAAAACACHTuJA+sPJQ54BAAAPAwAADgAAAAAAAAAB&#10;ACAAAAAjAQAAZHJzL2Uyb0RvYy54bWxQSwUGAAAAAAYABgBZAQAAMwUAAAAA&#10;">
                        <v:fill on="f" focussize="0,0"/>
                        <v:stroke on="f"/>
                        <v:imagedata o:title=""/>
                        <o:lock v:ext="edit" aspectratio="f"/>
                        <v:textbox>
                          <w:txbxContent>
                            <w:p>
                              <w:pPr>
                                <w:jc w:val="center"/>
                              </w:pPr>
                              <w:r>
                                <w:rPr>
                                  <w:rFonts w:hint="eastAsia"/>
                                </w:rPr>
                                <w:t>颗粒物、SO</w:t>
                              </w:r>
                              <w:r>
                                <w:rPr>
                                  <w:rFonts w:hint="eastAsia"/>
                                  <w:vertAlign w:val="subscript"/>
                                </w:rPr>
                                <w:t>2</w:t>
                              </w:r>
                              <w:r>
                                <w:rPr>
                                  <w:rFonts w:hint="eastAsia"/>
                                </w:rPr>
                                <w:t>、NO</w:t>
                              </w:r>
                              <w:r>
                                <w:rPr>
                                  <w:rFonts w:hint="eastAsia"/>
                                  <w:vertAlign w:val="subscript"/>
                                </w:rPr>
                                <w:t>X</w:t>
                              </w:r>
                              <w:r>
                                <w:rPr>
                                  <w:rFonts w:hint="eastAsia"/>
                                </w:rPr>
                                <w:t>、烟气黑度、噪声</w:t>
                              </w:r>
                            </w:p>
                          </w:txbxContent>
                        </v:textbox>
                      </v:shape>
                      <v:shape id="_x0000_s1026" o:spid="_x0000_s1026" o:spt="202" type="#_x0000_t202" style="position:absolute;left:405130;top:1118235;height:295275;width:516890;" filled="f" stroked="f" coordsize="21600,21600" o:gfxdata="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EbgDNPUAAAABQEAAA8AAAAAAAAAAQAgAAAA&#10;IgAAAGRycy9kb3ducmV2LnhtbFBLAQIUABQAAAAIAIdO4kA3TU2UnQEAAA4DAAAOAAAAAAAAAAEA&#10;IAAAACMBAABkcnMvZTJvRG9jLnhtbFBLBQYAAAAABgAGAFkBAAAyBQAAAAA=&#10;">
                        <v:fill on="f" focussize="0,0"/>
                        <v:stroke on="f"/>
                        <v:imagedata o:title=""/>
                        <o:lock v:ext="edit" aspectratio="f"/>
                        <v:textbox>
                          <w:txbxContent>
                            <w:p>
                              <w:pPr>
                                <w:jc w:val="center"/>
                              </w:pPr>
                              <w:r>
                                <w:rPr>
                                  <w:rFonts w:hint="eastAsia"/>
                                </w:rPr>
                                <w:t>废水</w:t>
                              </w:r>
                            </w:p>
                          </w:txbxContent>
                        </v:textbox>
                      </v:shape>
                      <v:shape id="_x0000_s1026" o:spid="_x0000_s1026" o:spt="32" type="#_x0000_t32" style="position:absolute;left:2860675;top:704850;height:635;width:748665;" filled="f" stroked="t" coordsize="21600,21600" o:gfxdata="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3SOSdNcAAAAFAQAADwAAAAAAAAABACAAAAAiAAAAZHJzL2Rvd25yZXYueG1sUEsB&#10;AhQAFAAAAAgAh07iQNwb2UD2AQAAsgMAAA4AAAAAAAAAAQAgAAAAJgEAAGRycy9lMm9Eb2MueG1s&#10;UEsFBgAAAAAGAAYAWQEAAI4FAAAAAA==&#10;">
                        <v:fill on="f" focussize="0,0"/>
                        <v:stroke color="#000000" joinstyle="round" endarrow="block"/>
                        <v:imagedata o:title=""/>
                        <o:lock v:ext="edit" aspectratio="f"/>
                      </v:shape>
                      <v:shape id="_x0000_s1026" o:spid="_x0000_s1026" o:spt="32" type="#_x0000_t32" style="position:absolute;left:1510665;top:850265;flip:x;height:304800;width:1270;" filled="f" stroked="t" coordsize="21600,21600" o:gfxdata="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Zq8e3SAAAABQEAAA8AAAAAAAAAAQAgAAAAIgAAAGRycy9kb3ducmV2Lnht&#10;bFBLAQIUABQAAAAIAIdO4kCBYhwQ/wEAALwDAAAOAAAAAAAAAAEAIAAAACEBAABkcnMvZTJvRG9j&#10;LnhtbFBLBQYAAAAABgAGAFkBAACSBQAAAAA=&#10;">
                        <v:fill on="f" focussize="0,0"/>
                        <v:stroke color="#000000" joinstyle="round" dashstyle="dash" endarrow="block"/>
                        <v:imagedata o:title=""/>
                        <o:lock v:ext="edit" aspectratio="f"/>
                      </v:shape>
                      <v:shape id="_x0000_s1026" o:spid="_x0000_s1026" o:spt="202" type="#_x0000_t202" style="position:absolute;left:1202690;top:1095375;height:320040;width:627380;" filled="f" stroked="f" coordsize="21600,21600" o:gfxdata="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RuAM09QAAAAFAQAADwAAAAAAAAABACAAAAAi&#10;AAAAZHJzL2Rvd25yZXYueG1sUEsBAhQAFAAAAAgAh07iQOx4rWOcAQAADwMAAA4AAAAAAAAAAQAg&#10;AAAAIwEAAGRycy9lMm9Eb2MueG1sUEsFBgAAAAAGAAYAWQEAADEFAAAAAA==&#10;">
                        <v:fill on="f" focussize="0,0"/>
                        <v:stroke on="f"/>
                        <v:imagedata o:title=""/>
                        <o:lock v:ext="edit" aspectratio="f"/>
                        <v:textbox>
                          <w:txbxContent>
                            <w:p>
                              <w:pPr>
                                <w:jc w:val="center"/>
                              </w:pPr>
                              <w:r>
                                <w:rPr>
                                  <w:rFonts w:hint="eastAsia"/>
                                </w:rPr>
                                <w:t>炉渣</w:t>
                              </w:r>
                            </w:p>
                          </w:txbxContent>
                        </v:textbox>
                      </v:shape>
                      <v:shape id="_x0000_s1026" o:spid="_x0000_s1026" o:spt="32" type="#_x0000_t32" style="position:absolute;left:1511935;top:1513840;height:635;width:840740;" filled="f" stroked="t" coordsize="21600,21600" o:gfxdata="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3SOSdNcAAAAFAQAADwAAAAAAAAABACAAAAAiAAAAZHJzL2Rvd25yZXYueG1sUEsBAhQA&#10;FAAAAAgAh07iQJqBZZDzAQAAswMAAA4AAAAAAAAAAQAgAAAAJgEAAGRycy9lMm9Eb2MueG1sUEsF&#10;BgAAAAAGAAYAWQEAAIsFAAAAAA==&#10;">
                        <v:fill on="f" focussize="0,0"/>
                        <v:stroke color="#000000" joinstyle="round" endarrow="block"/>
                        <v:imagedata o:title=""/>
                        <o:lock v:ext="edit" aspectratio="f"/>
                      </v:shape>
                      <v:shape id="_x0000_s1026" o:spid="_x0000_s1026" o:spt="32" type="#_x0000_t32" style="position:absolute;left:1511935;top:1321435;flip:y;height:184150;width:635;" filled="f" stroked="t" coordsize="21600,21600" o:gfxdata="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Q3bI/VAAAABQEAAA8AAAAAAAAAAQAgAAAAIgAAAGRycy9kb3ducmV2LnhtbFBLAQIU&#10;ABQAAAAIAIdO4kDgVLb59gEAALkDAAAOAAAAAAAAAAEAIAAAACQBAABkcnMvZTJvRG9jLnhtbFBL&#10;BQYAAAAABgAGAFkBAACMBQAAAAA=&#10;">
                        <v:fill on="f" focussize="0,0"/>
                        <v:stroke color="#000000" joinstyle="round"/>
                        <v:imagedata o:title=""/>
                        <o:lock v:ext="edit" aspectratio="f"/>
                      </v:shape>
                      <v:shape id="_x0000_s1026" o:spid="_x0000_s1026" o:spt="202" type="#_x0000_t202" style="position:absolute;left:2221865;top:1391920;height:320040;width:735330;" filled="f" stroked="f" coordsize="21600,21600" o:gfxdata="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EbgDNPUAAAABQEAAA8AAAAAAAAAAQAgAAAA&#10;IgAAAGRycy9kb3ducmV2LnhtbFBLAQIUABQAAAAIAIdO4kAoiufgnQEAAA8DAAAOAAAAAAAAAAEA&#10;IAAAACMBAABkcnMvZTJvRG9jLnhtbFBLBQYAAAAABgAGAFkBAAAyBQAAAAA=&#10;">
                        <v:fill on="f" focussize="0,0"/>
                        <v:stroke on="f"/>
                        <v:imagedata o:title=""/>
                        <o:lock v:ext="edit" aspectratio="f"/>
                        <v:textbox>
                          <w:txbxContent>
                            <w:p>
                              <w:pPr>
                                <w:jc w:val="center"/>
                              </w:pPr>
                              <w:r>
                                <w:rPr>
                                  <w:rFonts w:hint="eastAsia"/>
                                </w:rPr>
                                <w:t>灰渣</w:t>
                              </w:r>
                            </w:p>
                          </w:txbxContent>
                        </v:textbox>
                      </v:shape>
                      <v:shape id="_x0000_s1026" o:spid="_x0000_s1026" o:spt="32" type="#_x0000_t32" style="position:absolute;left:671195;top:1321435;height:244475;width:1270;" filled="f" stroked="t" coordsize="21600,21600" o:gfxdata="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dI5J01wAAAAUBAAAPAAAAAAAAAAEAIAAAACIAAABkcnMvZG93bnJldi54&#10;bWxQSwECFAAUAAAACACHTuJAy/NTd/sBAACzAwAADgAAAAAAAAABACAAAAAmAQAAZHJzL2Uyb0Rv&#10;Yy54bWxQSwUGAAAAAAYABgBZAQAAkwUAAAAA&#10;">
                        <v:fill on="f" focussize="0,0"/>
                        <v:stroke color="#000000" joinstyle="round" endarrow="block"/>
                        <v:imagedata o:title=""/>
                        <o:lock v:ext="edit" aspectratio="f"/>
                      </v:shape>
                      <v:rect id="_x0000_s1026" o:spid="_x0000_s1026" o:spt="1" style="position:absolute;left:3593465;top:558165;height:278765;width:828675;" fillcolor="#FFFFFF" filled="t" stroked="t" coordsize="21600,21600" o:gfxdata="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vX2/E1QAAAAUBAAAPAAAAAAAAAAEAIAAAACIAAABkcnMvZG93bnJldi54bWxQSwECFAAU&#10;AAAACACHTuJAJRCWyPQBAADpAwAADgAAAAAAAAABACAAAAAkAQAAZHJzL2Uyb0RvYy54bWxQSwUG&#10;AAAAAAYABgBZAQAAigUAAAAA&#10;">
                        <v:fill on="t" focussize="0,0"/>
                        <v:stroke color="#000000" joinstyle="miter"/>
                        <v:imagedata o:title=""/>
                        <o:lock v:ext="edit" aspectratio="f"/>
                        <v:textbox>
                          <w:txbxContent>
                            <w:p>
                              <w:pPr>
                                <w:jc w:val="center"/>
                              </w:pPr>
                              <w:r>
                                <w:rPr>
                                  <w:rFonts w:hint="eastAsia"/>
                                </w:rPr>
                                <w:t>多管+布袋</w:t>
                              </w:r>
                            </w:p>
                          </w:txbxContent>
                        </v:textbox>
                      </v:rect>
                      <v:shape id="_x0000_s1026" o:spid="_x0000_s1026" o:spt="32" type="#_x0000_t32" style="position:absolute;left:4031615;top:850265;flip:x;height:304800;width:1270;" filled="f" stroked="t" coordsize="21600,21600" o:gfxdata="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GavHt0gAAAAUBAAAPAAAAAAAAAAEAIAAAACIAAABkcnMvZG93bnJl&#10;di54bWxQSwECFAAUAAAACACHTuJA5G74ugMCAAC8AwAADgAAAAAAAAABACAAAAAhAQAAZHJzL2Uy&#10;b0RvYy54bWxQSwUGAAAAAAYABgBZAQAAlgUAAAAA&#10;">
                        <v:fill on="f" focussize="0,0"/>
                        <v:stroke color="#000000" joinstyle="round" dashstyle="dash" endarrow="block"/>
                        <v:imagedata o:title=""/>
                        <o:lock v:ext="edit" aspectratio="f"/>
                      </v:shape>
                      <v:shape id="_x0000_s1026" o:spid="_x0000_s1026" o:spt="202" type="#_x0000_t202" style="position:absolute;left:3847465;top:1111250;height:245110;width:398145;" filled="f" stroked="f" coordsize="21600,21600" o:gfxdata="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EbgDNPUAAAABQEAAA8AAAAAAAAAAQAgAAAAIgAA&#10;AGRycy9kb3ducmV2LnhtbFBLAQIUABQAAAAIAIdO4kBB29VMmgEAAA8DAAAOAAAAAAAAAAEAIAAA&#10;ACMBAABkcnMvZTJvRG9jLnhtbFBLBQYAAAAABgAGAFkBAAAvBQAAAAA=&#10;">
                        <v:fill on="f" focussize="0,0"/>
                        <v:stroke on="f"/>
                        <v:imagedata o:title=""/>
                        <o:lock v:ext="edit" aspectratio="f"/>
                        <v:textbox>
                          <w:txbxContent>
                            <w:p>
                              <w:pPr>
                                <w:jc w:val="center"/>
                              </w:pPr>
                              <w:r>
                                <w:rPr>
                                  <w:rFonts w:hint="eastAsia"/>
                                </w:rPr>
                                <w:t>灰</w:t>
                              </w:r>
                            </w:p>
                          </w:txbxContent>
                        </v:textbox>
                      </v:shape>
                      <v:shape id="_x0000_s1026" o:spid="_x0000_s1026" o:spt="32" type="#_x0000_t32" style="position:absolute;left:2559050;top:1249045;flip:x y;height:191135;width:1270;" filled="f" stroked="t" coordsize="21600,21600" o:gfxdata="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91AadcAAAAFAQAADwAAAAAAAAABACAAAAAiAAAAZHJz&#10;L2Rvd25yZXYueG1sUEsBAhQAFAAAAAgAh07iQOz2SvkFAgAAxwMAAA4AAAAAAAAAAQAgAAAAJgEA&#10;AGRycy9lMm9Eb2MueG1sUEsFBgAAAAAGAAYAWQEAAJ0FAAAAAA==&#10;">
                        <v:fill on="f" focussize="0,0"/>
                        <v:stroke color="#000000" joinstyle="round" dashstyle="dash" endarrow="block"/>
                        <v:imagedata o:title=""/>
                        <o:lock v:ext="edit" aspectratio="f"/>
                      </v:shape>
                      <v:shape id="_x0000_s1026" o:spid="_x0000_s1026" o:spt="202" type="#_x0000_t202" style="position:absolute;left:1550035;top:105410;height:320040;width:627380;" filled="f" stroked="f" coordsize="21600,21600" o:gfxdata="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RuAM09QAAAAFAQAADwAAAAAAAAABACAAAAAiAAAAZHJz&#10;L2Rvd25yZXYueG1sUEsBAhQAFAAAAAgAh07iQHipVvKWAQAADgMAAA4AAAAAAAAAAQAgAAAAIwEA&#10;AGRycy9lMm9Eb2MueG1sUEsFBgAAAAAGAAYAWQEAACsFAAAAAA==&#10;">
                        <v:fill on="f" focussize="0,0"/>
                        <v:stroke on="f"/>
                        <v:imagedata o:title=""/>
                        <o:lock v:ext="edit" aspectratio="f"/>
                        <v:textbox>
                          <w:txbxContent>
                            <w:p>
                              <w:pPr>
                                <w:jc w:val="center"/>
                              </w:pPr>
                              <w:r>
                                <w:rPr>
                                  <w:rFonts w:hint="eastAsia"/>
                                </w:rPr>
                                <w:t>噪声</w:t>
                              </w:r>
                            </w:p>
                          </w:txbxContent>
                        </v:textbox>
                      </v:shape>
                      <v:shape id="_x0000_s1026" o:spid="_x0000_s1026" o:spt="202" type="#_x0000_t202" style="position:absolute;left:2247900;top:1054100;height:320040;width:627380;" filled="f" stroked="f" coordsize="21600,21600" o:gfxdata="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EbgDNPUAAAABQEAAA8AAAAAAAAAAQAgAAAAIgAA&#10;AGRycy9kb3ducmV2LnhtbFBLAQIUABQAAAAIAIdO4kDQfBJnmgEAAA8DAAAOAAAAAAAAAAEAIAAA&#10;ACMBAABkcnMvZTJvRG9jLnhtbFBLBQYAAAAABgAGAFkBAAAvBQAAAAA=&#10;">
                        <v:fill on="f" focussize="0,0"/>
                        <v:stroke on="f"/>
                        <v:imagedata o:title=""/>
                        <o:lock v:ext="edit" aspectratio="f"/>
                        <v:textbox>
                          <w:txbxContent>
                            <w:p>
                              <w:pPr>
                                <w:jc w:val="center"/>
                              </w:pPr>
                              <w:r>
                                <w:rPr>
                                  <w:rFonts w:hint="eastAsia"/>
                                </w:rPr>
                                <w:t>粉尘</w:t>
                              </w:r>
                            </w:p>
                          </w:txbxContent>
                        </v:textbox>
                      </v:shape>
                      <v:shape id="_x0000_s1026" o:spid="_x0000_s1026" o:spt="32" type="#_x0000_t32" style="position:absolute;left:1883410;top:361315;flip:x y;height:191135;width:1270;" filled="f" stroked="t" coordsize="21600,21600" o:gfxdata="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vdQGnXAAAABQEAAA8AAAAAAAAAAQAgAAAAIgAAAGRycy9k&#10;b3ducmV2LnhtbFBLAQIUABQAAAAIAIdO4kAqFW0PAwIAAMYDAAAOAAAAAAAAAAEAIAAAACYBAABk&#10;cnMvZTJvRG9jLnhtbFBLBQYAAAAABgAGAFkBAACbBQAAAAA=&#10;">
                        <v:fill on="f" focussize="0,0"/>
                        <v:stroke color="#000000" joinstyle="round" dashstyle="dash" endarrow="block"/>
                        <v:imagedata o:title=""/>
                        <o:lock v:ext="edit" aspectratio="f"/>
                      </v:shape>
                      <v:shape id="_x0000_s1026" o:spid="_x0000_s1026" o:spt="202" type="#_x0000_t202" style="position:absolute;left:2815590;top:457200;height:320040;width:736600;" filled="f" stroked="f" coordsize="21600,21600" o:gfxdata="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G4AzT1AAAAAUBAAAPAAAAAAAAAAEAIAAAACIAAABk&#10;cnMvZG93bnJldi54bWxQSwECFAAUAAAACACHTuJA6y7tQ5gBAAAOAwAADgAAAAAAAAABACAAAAAj&#10;AQAAZHJzL2Uyb0RvYy54bWxQSwUGAAAAAAYABgBZAQAALQUAAAAA&#10;">
                        <v:fill on="f" focussize="0,0"/>
                        <v:stroke on="f"/>
                        <v:imagedata o:title=""/>
                        <o:lock v:ext="edit" aspectratio="f"/>
                        <v:textbox>
                          <w:txbxContent>
                            <w:p>
                              <w:pPr>
                                <w:jc w:val="center"/>
                              </w:pPr>
                              <w:r>
                                <w:rPr>
                                  <w:rFonts w:hint="eastAsia"/>
                                </w:rPr>
                                <w:t>锅炉烟气</w:t>
                              </w:r>
                            </w:p>
                          </w:txbxContent>
                        </v:textbox>
                      </v:shape>
                      <v:shape id="_x0000_s1026" o:spid="_x0000_s1026" o:spt="32" type="#_x0000_t32" style="position:absolute;left:4049395;top:1330960;flip:y;height:184150;width:635;" filled="f" stroked="t" coordsize="21600,21600" o:gfxdata="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Q3bI/VAAAABQEAAA8AAAAAAAAAAQAgAAAAIgAAAGRycy9kb3ducmV2LnhtbFBL&#10;AQIUABQAAAAIAIdO4kA+dOAJ+QEAALkDAAAOAAAAAAAAAAEAIAAAACQBAABkcnMvZTJvRG9jLnht&#10;bFBLBQYAAAAABgAGAFkBAACPBQAAAAA=&#10;">
                        <v:fill on="f" focussize="0,0"/>
                        <v:stroke color="#000000" joinstyle="round"/>
                        <v:imagedata o:title=""/>
                        <o:lock v:ext="edit" aspectratio="f"/>
                      </v:shape>
                      <v:shape id="_x0000_s1026" o:spid="_x0000_s1026" o:spt="32" type="#_x0000_t32" style="position:absolute;left:2799080;top:1505585;flip:x;height:11430;width:1231265;" filled="f" stroked="t" coordsize="21600,21600" o:gfxdata="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2/ugrWAAAABQEAAA8AAAAAAAAAAQAgAAAAIgAAAGRycy9k&#10;b3ducmV2LnhtbFBLAQIUABQAAAAIAIdO4kC7ZB42BAIAAMADAAAOAAAAAAAAAAEAIAAAACUBAABk&#10;cnMvZTJvRG9jLnhtbFBLBQYAAAAABgAGAFkBAACbBQAAAAA=&#10;">
                        <v:fill on="f" focussize="0,0"/>
                        <v:stroke color="#000000" joinstyle="round" endarrow="block"/>
                        <v:imagedata o:title=""/>
                        <o:lock v:ext="edit" aspectratio="f"/>
                      </v:shape>
                      <v:rect id="_x0000_s1026" o:spid="_x0000_s1026" o:spt="1" style="position:absolute;left:190500;top:105410;height:258445;width:613410;" filled="f" stroked="f" coordsize="21600,21600" o:gfxdata="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Ko/dRHXAAAABQEAAA8AAAAAAAAAAQAgAAAAIgAAAGRycy9k&#10;b3ducmV2LnhtbFBLAQIUABQAAAAIAIdO4kASJYeRkQEAAAADAAAOAAAAAAAAAAEAIAAAACYBAABk&#10;cnMvZTJvRG9jLnhtbFBLBQYAAAAABgAGAFkBAAApBQAAAAA=&#10;">
                        <v:fill on="f" focussize="0,0"/>
                        <v:stroke on="f"/>
                        <v:imagedata o:title=""/>
                        <o:lock v:ext="edit" aspectratio="f"/>
                        <v:textbox>
                          <w:txbxContent>
                            <w:p>
                              <w:r>
                                <w:rPr>
                                  <w:rFonts w:hint="eastAsia"/>
                                </w:rPr>
                                <w:t>新鲜水</w:t>
                              </w:r>
                            </w:p>
                          </w:txbxContent>
                        </v:textbox>
                      </v:rect>
                      <v:shape id="_x0000_s1026" o:spid="_x0000_s1026" o:spt="32" type="#_x0000_t32" style="position:absolute;left:476250;top:302895;height:241935;width:635;" filled="f" stroked="t" coordsize="21600,21600" o:gfxdata="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0jknTXAAAABQEAAA8AAAAAAAAAAQAgAAAAIgAAAGRycy9kb3ducmV2LnhtbFBL&#10;AQIUABQAAAAIAIdO4kC3k+jj9wEAALEDAAAOAAAAAAAAAAEAIAAAACYBAABkcnMvZTJvRG9jLnht&#10;bFBLBQYAAAAABgAGAFkBAACPBQAAAAA=&#10;">
                        <v:fill on="f" focussize="0,0"/>
                        <v:stroke color="#000000" joinstyle="round" endarrow="block"/>
                        <v:imagedata o:title=""/>
                        <o:lock v:ext="edit" aspectratio="f"/>
                      </v:shape>
                      <v:rect id="_x0000_s1026" o:spid="_x0000_s1026" o:spt="1" style="position:absolute;left:115570;top:545465;height:278765;width:739140;" fillcolor="#FFFFFF" filled="t" stroked="t" coordsize="21600,21600" o:gfxdata="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vX2/E1QAAAAUBAAAPAAAAAAAAAAEAIAAAACIAAABkcnMvZG93bnJldi54bWxQSwECFAAU&#10;AAAACACHTuJA5elgnvQBAADoAwAADgAAAAAAAAABACAAAAAkAQAAZHJzL2Uyb0RvYy54bWxQSwUG&#10;AAAAAAYABgBZAQAAigUAAAAA&#10;">
                        <v:fill on="t" focussize="0,0"/>
                        <v:stroke color="#000000" joinstyle="miter"/>
                        <v:imagedata o:title=""/>
                        <o:lock v:ext="edit" aspectratio="f"/>
                        <v:textbox>
                          <w:txbxContent>
                            <w:p>
                              <w:pPr>
                                <w:jc w:val="center"/>
                              </w:pPr>
                              <w:r>
                                <w:rPr>
                                  <w:rFonts w:hint="eastAsia"/>
                                </w:rPr>
                                <w:t>软化装置</w:t>
                              </w:r>
                            </w:p>
                          </w:txbxContent>
                        </v:textbox>
                      </v:rect>
                      <v:shape id="_x0000_s1026" o:spid="_x0000_s1026" o:spt="32" type="#_x0000_t32" style="position:absolute;left:859790;top:685165;height:8890;width:189230;" filled="f" stroked="t" coordsize="21600,21600" o:gfxdata="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0jknTXAAAABQEAAA8AAAAAAAAAAQAgAAAAIgAAAGRycy9kb3ducmV2LnhtbFBL&#10;AQIUABQAAAAIAIdO4kBs3Bp99wEAALIDAAAOAAAAAAAAAAEAIAAAACYBAABkcnMvZTJvRG9jLnht&#10;bFBLBQYAAAAABgAGAFkBAACPBQAAAAA=&#10;">
                        <v:fill on="f" focussize="0,0"/>
                        <v:stroke color="#000000" joinstyle="round" endarrow="block"/>
                        <v:imagedata o:title=""/>
                        <o:lock v:ext="edit" aspectratio="f"/>
                      </v:shape>
                      <v:shape id="_x0000_s1026" o:spid="_x0000_s1026" o:spt="33" type="#_x0000_t33" style="position:absolute;left:731520;top:932180;height:234950;width:402590;rotation:5898240f;" filled="f" stroked="t" coordsize="21600,21600" o:gfxdata="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8slCz1gAAAAUBAAAPAAAAAAAAAAEAIAAAACIAAABkcnMvZG93&#10;bnJldi54bWxQSwECFAAUAAAACACHTuJAQfIzjAICAADBAwAADgAAAAAAAAABACAAAAAlAQAAZHJz&#10;L2Uyb0RvYy54bWxQSwUGAAAAAAYABgBZAQAAmQUAAAAA&#10;">
                        <v:fill on="f" focussize="0,0"/>
                        <v:stroke color="#000000" joinstyle="miter" dashstyle="dash" endarrow="block"/>
                        <v:imagedata o:title=""/>
                        <o:lock v:ext="edit" aspectratio="f"/>
                      </v:shape>
                      <v:shape id="_x0000_s1026" o:spid="_x0000_s1026" o:spt="32" type="#_x0000_t32" style="position:absolute;left:4321810;top:850265;flip:x;height:304800;width:1270;" filled="f" stroked="t" coordsize="21600,21600" o:gfxdata="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GavHt0gAAAAUBAAAPAAAAAAAAAAEAIAAAACIAAABkcnMvZG93bnJl&#10;di54bWxQSwECFAAUAAAACACHTuJAxd6yjQMCAAC8AwAADgAAAAAAAAABACAAAAAhAQAAZHJzL2Uy&#10;b0RvYy54bWxQSwUGAAAAAAYABgBZAQAAlgUAAAAA&#10;">
                        <v:fill on="f" focussize="0,0"/>
                        <v:stroke color="#000000" joinstyle="round" dashstyle="dash" endarrow="block"/>
                        <v:imagedata o:title=""/>
                        <o:lock v:ext="edit" aspectratio="f"/>
                      </v:shape>
                      <v:shape id="_x0000_s1026" o:spid="_x0000_s1026" o:spt="202" type="#_x0000_t202" style="position:absolute;left:4044315;top:1111250;height:286385;width:592455;" filled="f" stroked="f" coordsize="21600,21600" o:gfxdata="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RuAM09QAAAAFAQAADwAAAAAAAAABACAAAAAi&#10;AAAAZHJzL2Rvd25yZXYueG1sUEsBAhQAFAAAAAgAh07iQFBptZOcAQAADwMAAA4AAAAAAAAAAQAg&#10;AAAAIwEAAGRycy9lMm9Eb2MueG1sUEsFBgAAAAAGAAYAWQEAADEFAAAAAA==&#10;">
                        <v:fill on="f" focussize="0,0"/>
                        <v:stroke on="f"/>
                        <v:imagedata o:title=""/>
                        <o:lock v:ext="edit" aspectratio="f"/>
                        <v:textbox>
                          <w:txbxContent>
                            <w:p>
                              <w:pPr>
                                <w:jc w:val="center"/>
                              </w:pPr>
                              <w:r>
                                <w:rPr>
                                  <w:rFonts w:hint="eastAsia"/>
                                </w:rPr>
                                <w:t>废布袋</w:t>
                              </w:r>
                            </w:p>
                          </w:txbxContent>
                        </v:textbox>
                      </v:shape>
                      <v:shape id="_x0000_s1026" o:spid="_x0000_s1026" o:spt="32" type="#_x0000_t32" style="position:absolute;left:672465;top:824230;flip:x;height:304800;width:1270;" filled="f" stroked="t" coordsize="21600,21600" o:gfxdata="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Zq8e3SAAAABQEAAA8AAAAAAAAAAQAgAAAAIgAAAGRycy9kb3ducmV2&#10;LnhtbFBLAQIUABQAAAAIAIdO4kDLOb+WAgIAALsDAAAOAAAAAAAAAAEAIAAAACEBAABkcnMvZTJv&#10;RG9jLnhtbFBLBQYAAAAABgAGAFkBAACVBQAAAAA=&#10;">
                        <v:fill on="f" focussize="0,0"/>
                        <v:stroke color="#000000" joinstyle="round" dashstyle="dash" endarrow="block"/>
                        <v:imagedata o:title=""/>
                        <o:lock v:ext="edit" aspectratio="f"/>
                      </v:shape>
                      <v:shape id="_x0000_s1026" o:spid="_x0000_s1026" o:spt="32" type="#_x0000_t32" style="position:absolute;left:270510;top:824230;flip:x;height:304800;width:1270;" filled="f" stroked="t" coordsize="21600,21600" o:gfxdata="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GavHt0gAAAAUBAAAPAAAAAAAAAAEAIAAAACIAAABkcnMvZG93bnJldi54&#10;bWxQSwECFAAUAAAACACHTuJAZgj+3wACAAC7AwAADgAAAAAAAAABACAAAAAhAQAAZHJzL2Uyb0Rv&#10;Yy54bWxQSwUGAAAAAAYABgBZAQAAkwUAAAAA&#10;">
                        <v:fill on="f" focussize="0,0"/>
                        <v:stroke color="#000000" joinstyle="round" dashstyle="dash" endarrow="block"/>
                        <v:imagedata o:title=""/>
                        <o:lock v:ext="edit" aspectratio="f"/>
                      </v:shape>
                      <v:shape id="_x0000_s1026" o:spid="_x0000_s1026" o:spt="202" type="#_x0000_t202" style="position:absolute;left:0;top:1095375;height:466725;width:583565;" filled="f" stroked="f" coordsize="21600,21600" o:gfxdata="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G4AzT1AAAAAUBAAAPAAAAAAAAAAEAIAAAACIAAABk&#10;cnMvZG93bnJldi54bWxQSwECFAAUAAAACACHTuJAl0cjRJgBAAAJAwAADgAAAAAAAAABACAAAAAj&#10;AQAAZHJzL2Uyb0RvYy54bWxQSwUGAAAAAAYABgBZAQAALQUAAAAA&#10;">
                        <v:fill on="f" focussize="0,0"/>
                        <v:stroke on="f"/>
                        <v:imagedata o:title=""/>
                        <o:lock v:ext="edit" aspectratio="f"/>
                        <v:textbox>
                          <w:txbxContent>
                            <w:p>
                              <w:pPr>
                                <w:jc w:val="center"/>
                                <w:rPr>
                                  <w:sz w:val="18"/>
                                  <w:szCs w:val="18"/>
                                </w:rPr>
                              </w:pPr>
                              <w:r>
                                <w:rPr>
                                  <w:rFonts w:hint="eastAsia"/>
                                  <w:sz w:val="18"/>
                                  <w:szCs w:val="18"/>
                                </w:rPr>
                                <w:t>固废、噪声</w:t>
                              </w:r>
                            </w:p>
                          </w:txbxContent>
                        </v:textbox>
                      </v:shape>
                      <w10:wrap type="none"/>
                      <w10:anchorlock/>
                    </v:group>
                  </w:pict>
                </mc:Fallback>
              </mc:AlternateContent>
            </w:r>
          </w:p>
          <w:p>
            <w:pPr>
              <w:spacing w:line="360" w:lineRule="auto"/>
              <w:contextualSpacing/>
              <w:jc w:val="center"/>
              <w:rPr>
                <w:b/>
                <w:bCs/>
                <w:color w:val="auto"/>
                <w:sz w:val="24"/>
              </w:rPr>
            </w:pPr>
            <w:r>
              <w:rPr>
                <w:b/>
                <w:bCs/>
                <w:color w:val="auto"/>
                <w:sz w:val="24"/>
              </w:rPr>
              <w:t>图2-</w:t>
            </w:r>
            <w:r>
              <w:rPr>
                <w:rFonts w:hint="eastAsia"/>
                <w:b/>
                <w:bCs/>
                <w:color w:val="auto"/>
                <w:sz w:val="24"/>
              </w:rPr>
              <w:t>2</w:t>
            </w:r>
            <w:r>
              <w:rPr>
                <w:b/>
                <w:color w:val="auto"/>
                <w:sz w:val="24"/>
              </w:rPr>
              <w:t>工艺</w:t>
            </w:r>
            <w:r>
              <w:rPr>
                <w:b/>
                <w:bCs/>
                <w:color w:val="auto"/>
                <w:sz w:val="24"/>
              </w:rPr>
              <w:t>流程及产排污节点图</w:t>
            </w:r>
          </w:p>
          <w:p>
            <w:pPr>
              <w:widowControl/>
              <w:spacing w:line="360" w:lineRule="auto"/>
              <w:ind w:firstLine="557" w:firstLineChars="231"/>
              <w:jc w:val="left"/>
              <w:rPr>
                <w:b/>
                <w:color w:val="auto"/>
                <w:kern w:val="0"/>
                <w:sz w:val="24"/>
              </w:rPr>
            </w:pPr>
            <w:r>
              <w:rPr>
                <w:b/>
                <w:color w:val="auto"/>
                <w:kern w:val="0"/>
                <w:sz w:val="24"/>
              </w:rPr>
              <w:t>2、工艺流程简介</w:t>
            </w:r>
          </w:p>
          <w:p>
            <w:pPr>
              <w:widowControl/>
              <w:spacing w:line="360" w:lineRule="auto"/>
              <w:ind w:firstLine="636" w:firstLineChars="265"/>
              <w:jc w:val="left"/>
              <w:rPr>
                <w:color w:val="auto"/>
                <w:kern w:val="0"/>
                <w:sz w:val="24"/>
              </w:rPr>
            </w:pPr>
            <w:r>
              <w:rPr>
                <w:rFonts w:hint="eastAsia"/>
                <w:color w:val="auto"/>
                <w:sz w:val="24"/>
              </w:rPr>
              <w:t>本项目锅炉采用链条炉，叉车上料，炉渣采用湿式除渣法，通过灰渣斗运输至灰渣运输车。</w:t>
            </w:r>
            <w:r>
              <w:rPr>
                <w:color w:val="auto"/>
                <w:sz w:val="24"/>
              </w:rPr>
              <w:t>锅炉</w:t>
            </w:r>
            <w:r>
              <w:rPr>
                <w:rFonts w:hint="eastAsia"/>
                <w:color w:val="auto"/>
                <w:sz w:val="24"/>
              </w:rPr>
              <w:t>采用低氮燃烧技术，烟气经陶瓷多管+袋式除尘组合技术</w:t>
            </w:r>
            <w:r>
              <w:rPr>
                <w:color w:val="auto"/>
                <w:sz w:val="24"/>
              </w:rPr>
              <w:t>装置</w:t>
            </w:r>
            <w:r>
              <w:rPr>
                <w:rFonts w:hint="eastAsia"/>
                <w:color w:val="auto"/>
                <w:sz w:val="24"/>
              </w:rPr>
              <w:t>处理后</w:t>
            </w:r>
            <w:r>
              <w:rPr>
                <w:color w:val="auto"/>
                <w:sz w:val="24"/>
              </w:rPr>
              <w:t>通过</w:t>
            </w:r>
            <w:r>
              <w:rPr>
                <w:rFonts w:hint="eastAsia"/>
                <w:color w:val="auto"/>
                <w:sz w:val="24"/>
              </w:rPr>
              <w:t>1</w:t>
            </w:r>
            <w:r>
              <w:rPr>
                <w:color w:val="auto"/>
                <w:sz w:val="24"/>
              </w:rPr>
              <w:t>根</w:t>
            </w:r>
            <w:r>
              <w:rPr>
                <w:rFonts w:hint="eastAsia"/>
                <w:color w:val="auto"/>
                <w:sz w:val="24"/>
              </w:rPr>
              <w:t>40m</w:t>
            </w:r>
            <w:r>
              <w:rPr>
                <w:color w:val="auto"/>
                <w:sz w:val="24"/>
              </w:rPr>
              <w:t>高烟囱排</w:t>
            </w:r>
            <w:r>
              <w:rPr>
                <w:rFonts w:hint="eastAsia"/>
                <w:color w:val="auto"/>
                <w:sz w:val="24"/>
              </w:rPr>
              <w:t>放。</w:t>
            </w:r>
            <w:r>
              <w:rPr>
                <w:rFonts w:hint="eastAsia"/>
                <w:bCs/>
                <w:color w:val="auto"/>
                <w:sz w:val="24"/>
              </w:rPr>
              <w:t>灰渣采用湿式除渣，存放于运输车内，采用苫布苫盖，及时清运，不长期储存，粉尘以无组织形式在厂区排放</w:t>
            </w:r>
            <w:r>
              <w:rPr>
                <w:color w:val="auto"/>
                <w:kern w:val="0"/>
                <w:sz w:val="24"/>
              </w:rPr>
              <w:t>。</w:t>
            </w:r>
          </w:p>
          <w:p>
            <w:pPr>
              <w:widowControl/>
              <w:spacing w:line="360" w:lineRule="auto"/>
              <w:ind w:firstLine="634" w:firstLineChars="263"/>
              <w:jc w:val="left"/>
              <w:rPr>
                <w:color w:val="auto"/>
                <w:kern w:val="0"/>
                <w:sz w:val="24"/>
              </w:rPr>
            </w:pPr>
            <w:r>
              <w:rPr>
                <w:b/>
                <w:bCs/>
                <w:color w:val="auto"/>
                <w:kern w:val="0"/>
                <w:sz w:val="24"/>
              </w:rPr>
              <w:t xml:space="preserve">3、主要污染工序 </w:t>
            </w:r>
          </w:p>
          <w:p>
            <w:pPr>
              <w:spacing w:line="360" w:lineRule="auto"/>
              <w:ind w:firstLine="480" w:firstLineChars="200"/>
              <w:contextualSpacing/>
              <w:rPr>
                <w:bCs/>
                <w:color w:val="auto"/>
                <w:sz w:val="24"/>
              </w:rPr>
            </w:pPr>
            <w:r>
              <w:rPr>
                <w:color w:val="auto"/>
                <w:sz w:val="24"/>
              </w:rPr>
              <w:t>本项目</w:t>
            </w:r>
            <w:r>
              <w:rPr>
                <w:rFonts w:hint="eastAsia"/>
                <w:color w:val="auto"/>
                <w:sz w:val="24"/>
              </w:rPr>
              <w:t>污染物</w:t>
            </w:r>
            <w:r>
              <w:rPr>
                <w:color w:val="auto"/>
                <w:sz w:val="24"/>
              </w:rPr>
              <w:t>主要为</w:t>
            </w:r>
            <w:r>
              <w:rPr>
                <w:rFonts w:hint="eastAsia"/>
                <w:color w:val="auto"/>
                <w:sz w:val="24"/>
              </w:rPr>
              <w:t>锅炉烟气、秸秆及</w:t>
            </w:r>
            <w:r>
              <w:rPr>
                <w:rFonts w:hint="eastAsia"/>
                <w:bCs/>
                <w:color w:val="auto"/>
                <w:sz w:val="24"/>
              </w:rPr>
              <w:t>灰渣转运产生的粉尘</w:t>
            </w:r>
            <w:r>
              <w:rPr>
                <w:rFonts w:hint="eastAsia"/>
                <w:color w:val="auto"/>
                <w:sz w:val="24"/>
              </w:rPr>
              <w:t>；生活污水、软化处理废水及锅炉排污水；设备噪声；</w:t>
            </w:r>
            <w:r>
              <w:rPr>
                <w:rFonts w:hint="eastAsia" w:hAnsi="宋体"/>
                <w:bCs/>
                <w:color w:val="auto"/>
                <w:sz w:val="24"/>
              </w:rPr>
              <w:t>生活垃圾、</w:t>
            </w:r>
            <w:r>
              <w:rPr>
                <w:color w:val="auto"/>
                <w:sz w:val="24"/>
              </w:rPr>
              <w:t>锰砂废料、废布袋</w:t>
            </w:r>
            <w:r>
              <w:rPr>
                <w:rFonts w:hint="eastAsia"/>
                <w:color w:val="auto"/>
                <w:sz w:val="24"/>
              </w:rPr>
              <w:t>、锅炉灰渣、除尘器收尘灰</w:t>
            </w:r>
            <w:r>
              <w:rPr>
                <w:rFonts w:hAnsi="宋体"/>
                <w:bCs/>
                <w:color w:val="auto"/>
                <w:sz w:val="24"/>
              </w:rPr>
              <w:t>。</w:t>
            </w:r>
          </w:p>
          <w:p>
            <w:pPr>
              <w:spacing w:line="360" w:lineRule="auto"/>
              <w:ind w:firstLine="480" w:firstLineChars="200"/>
              <w:contextualSpacing/>
              <w:rPr>
                <w:rFonts w:hAnsi="宋体"/>
                <w:bCs/>
                <w:color w:val="auto"/>
                <w:sz w:val="24"/>
              </w:rPr>
            </w:pPr>
            <w:r>
              <w:rPr>
                <w:bCs/>
                <w:color w:val="auto"/>
                <w:sz w:val="24"/>
              </w:rPr>
              <w:t>1</w:t>
            </w:r>
            <w:r>
              <w:rPr>
                <w:rFonts w:hAnsi="宋体"/>
                <w:bCs/>
                <w:color w:val="auto"/>
                <w:sz w:val="24"/>
              </w:rPr>
              <w:t>、废气：</w:t>
            </w:r>
            <w:r>
              <w:rPr>
                <w:rFonts w:hint="eastAsia" w:hAnsi="宋体"/>
                <w:bCs/>
                <w:color w:val="auto"/>
                <w:sz w:val="24"/>
              </w:rPr>
              <w:t>锅炉烟气（颗粒物、二氧化硫、氮氧化物、烟气黑度）、</w:t>
            </w:r>
            <w:r>
              <w:rPr>
                <w:rFonts w:hint="eastAsia"/>
                <w:color w:val="auto"/>
                <w:sz w:val="24"/>
              </w:rPr>
              <w:t>秸秆及</w:t>
            </w:r>
            <w:r>
              <w:rPr>
                <w:rFonts w:hint="eastAsia"/>
                <w:bCs/>
                <w:color w:val="auto"/>
                <w:sz w:val="24"/>
              </w:rPr>
              <w:t>灰渣转运产生的粉尘</w:t>
            </w:r>
            <w:r>
              <w:rPr>
                <w:rFonts w:hint="eastAsia" w:hAnsi="宋体"/>
                <w:bCs/>
                <w:color w:val="auto"/>
                <w:sz w:val="24"/>
              </w:rPr>
              <w:t>（颗粒物）；</w:t>
            </w:r>
          </w:p>
          <w:p>
            <w:pPr>
              <w:spacing w:line="360" w:lineRule="auto"/>
              <w:ind w:firstLine="480" w:firstLineChars="200"/>
              <w:contextualSpacing/>
              <w:rPr>
                <w:rFonts w:hAnsi="宋体"/>
                <w:bCs/>
                <w:color w:val="auto"/>
                <w:sz w:val="24"/>
              </w:rPr>
            </w:pPr>
            <w:r>
              <w:rPr>
                <w:rFonts w:hint="eastAsia" w:hAnsi="宋体"/>
                <w:bCs/>
                <w:color w:val="auto"/>
                <w:sz w:val="24"/>
              </w:rPr>
              <w:t>2、废水：生活污水（</w:t>
            </w:r>
            <w:r>
              <w:rPr>
                <w:rFonts w:hAnsi="宋体"/>
                <w:bCs/>
                <w:color w:val="auto"/>
                <w:sz w:val="24"/>
              </w:rPr>
              <w:t>COD、氨氮、SS、pH、BOD</w:t>
            </w:r>
            <w:r>
              <w:rPr>
                <w:rFonts w:hAnsi="宋体"/>
                <w:bCs/>
                <w:color w:val="auto"/>
                <w:sz w:val="24"/>
                <w:vertAlign w:val="subscript"/>
              </w:rPr>
              <w:t>5</w:t>
            </w:r>
            <w:r>
              <w:rPr>
                <w:rFonts w:hint="eastAsia" w:hAnsi="宋体"/>
                <w:bCs/>
                <w:color w:val="auto"/>
                <w:sz w:val="24"/>
              </w:rPr>
              <w:t>）、</w:t>
            </w:r>
            <w:r>
              <w:rPr>
                <w:rFonts w:hint="eastAsia"/>
                <w:color w:val="auto"/>
                <w:sz w:val="24"/>
              </w:rPr>
              <w:t>软化水处理废水及锅炉定排水（COD）；</w:t>
            </w:r>
          </w:p>
          <w:p>
            <w:pPr>
              <w:spacing w:line="360" w:lineRule="auto"/>
              <w:ind w:firstLine="480" w:firstLineChars="200"/>
              <w:contextualSpacing/>
              <w:rPr>
                <w:rFonts w:hAnsi="宋体"/>
                <w:bCs/>
                <w:color w:val="auto"/>
                <w:sz w:val="24"/>
              </w:rPr>
            </w:pPr>
            <w:r>
              <w:rPr>
                <w:rFonts w:hint="eastAsia" w:hAnsi="宋体"/>
                <w:bCs/>
                <w:color w:val="auto"/>
                <w:sz w:val="24"/>
              </w:rPr>
              <w:t>3、噪声：主要噪声来自锅炉风机、水泵</w:t>
            </w:r>
            <w:r>
              <w:rPr>
                <w:color w:val="auto"/>
                <w:sz w:val="24"/>
              </w:rPr>
              <w:t>等设备</w:t>
            </w:r>
            <w:r>
              <w:rPr>
                <w:rFonts w:hint="eastAsia" w:hAnsi="宋体"/>
                <w:bCs/>
                <w:color w:val="auto"/>
                <w:sz w:val="24"/>
              </w:rPr>
              <w:t>；</w:t>
            </w:r>
          </w:p>
          <w:p>
            <w:pPr>
              <w:widowControl/>
              <w:spacing w:line="360" w:lineRule="auto"/>
              <w:ind w:firstLine="480" w:firstLineChars="200"/>
              <w:jc w:val="left"/>
              <w:rPr>
                <w:color w:val="auto"/>
                <w:kern w:val="0"/>
                <w:sz w:val="24"/>
              </w:rPr>
            </w:pPr>
            <w:r>
              <w:rPr>
                <w:rFonts w:hint="eastAsia" w:hAnsi="宋体"/>
                <w:bCs/>
                <w:color w:val="auto"/>
                <w:sz w:val="24"/>
              </w:rPr>
              <w:t>4、固废：</w:t>
            </w:r>
            <w:r>
              <w:rPr>
                <w:rFonts w:hint="eastAsia"/>
                <w:color w:val="auto"/>
                <w:sz w:val="24"/>
              </w:rPr>
              <w:t>本项目产生的</w:t>
            </w:r>
            <w:r>
              <w:rPr>
                <w:rFonts w:hint="eastAsia" w:hAnsi="宋体"/>
                <w:bCs/>
                <w:color w:val="auto"/>
                <w:sz w:val="24"/>
              </w:rPr>
              <w:t>生活垃圾（SW64代码900-099-S64）、</w:t>
            </w:r>
            <w:r>
              <w:rPr>
                <w:color w:val="auto"/>
                <w:sz w:val="24"/>
              </w:rPr>
              <w:t>锰砂废料</w:t>
            </w:r>
            <w:r>
              <w:rPr>
                <w:rFonts w:hint="eastAsia" w:hAnsi="宋体"/>
                <w:bCs/>
                <w:color w:val="auto"/>
                <w:sz w:val="24"/>
              </w:rPr>
              <w:t>（SW59代码900-009-S59）</w:t>
            </w:r>
            <w:r>
              <w:rPr>
                <w:color w:val="auto"/>
                <w:sz w:val="24"/>
              </w:rPr>
              <w:t>、废布袋</w:t>
            </w:r>
            <w:r>
              <w:rPr>
                <w:rFonts w:hint="eastAsia" w:hAnsi="宋体"/>
                <w:bCs/>
                <w:color w:val="auto"/>
                <w:sz w:val="24"/>
              </w:rPr>
              <w:t>（SW59代码900-009-S59）</w:t>
            </w:r>
            <w:r>
              <w:rPr>
                <w:rFonts w:hint="eastAsia"/>
                <w:color w:val="auto"/>
                <w:sz w:val="24"/>
              </w:rPr>
              <w:t>、锅炉灰渣</w:t>
            </w:r>
            <w:r>
              <w:rPr>
                <w:rFonts w:hint="eastAsia" w:hAnsi="宋体"/>
                <w:bCs/>
                <w:color w:val="auto"/>
                <w:sz w:val="24"/>
              </w:rPr>
              <w:t>（SW03代码900-099-S03）、除尘器收尘灰（SW59代码900-009-S59）均属一般工业固体废物，根据</w:t>
            </w:r>
            <w:r>
              <w:rPr>
                <w:color w:val="auto"/>
                <w:sz w:val="24"/>
              </w:rPr>
              <w:t>《固体废物分类与代码目录》（</w:t>
            </w:r>
            <w:r>
              <w:rPr>
                <w:rFonts w:hint="eastAsia"/>
                <w:color w:val="auto"/>
                <w:sz w:val="24"/>
              </w:rPr>
              <w:t>2024年第4号</w:t>
            </w:r>
            <w:r>
              <w:rPr>
                <w:color w:val="auto"/>
                <w:sz w:val="24"/>
              </w:rPr>
              <w:t>）</w:t>
            </w:r>
            <w:r>
              <w:rPr>
                <w:rFonts w:hint="eastAsia"/>
                <w:color w:val="auto"/>
                <w:sz w:val="24"/>
              </w:rPr>
              <w:t>进行</w:t>
            </w:r>
            <w:r>
              <w:rPr>
                <w:rFonts w:hint="eastAsia" w:hAnsi="宋体"/>
                <w:bCs/>
                <w:color w:val="auto"/>
                <w:sz w:val="24"/>
              </w:rPr>
              <w:t>分类</w:t>
            </w:r>
            <w:r>
              <w:rPr>
                <w:color w:val="auto"/>
                <w:kern w:val="0"/>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13" w:type="dxa"/>
            <w:noWrap w:val="0"/>
            <w:vAlign w:val="center"/>
          </w:tcPr>
          <w:p>
            <w:pPr>
              <w:pStyle w:val="12"/>
              <w:adjustRightInd w:val="0"/>
              <w:snapToGrid w:val="0"/>
              <w:spacing w:before="0" w:beforeAutospacing="0" w:after="0" w:afterAutospacing="0"/>
              <w:jc w:val="center"/>
              <w:rPr>
                <w:rFonts w:ascii="Times New Roman" w:hAnsi="Times New Roman"/>
                <w:color w:val="auto"/>
                <w:szCs w:val="24"/>
                <w:lang w:val="en-US" w:eastAsia="zh-CN"/>
              </w:rPr>
            </w:pPr>
            <w:r>
              <w:rPr>
                <w:rFonts w:ascii="Times New Roman" w:hAnsi="Times New Roman"/>
                <w:bCs/>
                <w:color w:val="auto"/>
                <w:kern w:val="2"/>
                <w:szCs w:val="24"/>
                <w:lang w:val="en-US" w:eastAsia="zh-CN"/>
              </w:rPr>
              <w:t>与项目有关的原有环境污染问题</w:t>
            </w:r>
          </w:p>
        </w:tc>
        <w:tc>
          <w:tcPr>
            <w:tcW w:w="8348" w:type="dxa"/>
            <w:noWrap w:val="0"/>
            <w:vAlign w:val="top"/>
          </w:tcPr>
          <w:p>
            <w:pPr>
              <w:spacing w:line="360" w:lineRule="auto"/>
              <w:ind w:firstLine="480" w:firstLineChars="200"/>
              <w:jc w:val="left"/>
              <w:rPr>
                <w:rFonts w:hint="eastAsia"/>
                <w:color w:val="auto"/>
                <w:kern w:val="0"/>
                <w:sz w:val="24"/>
                <w:szCs w:val="32"/>
              </w:rPr>
            </w:pPr>
            <w:r>
              <w:rPr>
                <w:color w:val="auto"/>
                <w:kern w:val="0"/>
                <w:sz w:val="24"/>
                <w:szCs w:val="32"/>
              </w:rPr>
              <w:t>经现场勘查，锅炉及配套附属设施于2021年由个人建设完成，建设多年未办理环保手续，现该锅炉及配套附属设施转让本公司，本次主动办理环保手续</w:t>
            </w:r>
            <w:r>
              <w:rPr>
                <w:rFonts w:hint="eastAsia"/>
                <w:color w:val="auto"/>
                <w:kern w:val="0"/>
                <w:sz w:val="24"/>
                <w:szCs w:val="32"/>
              </w:rPr>
              <w:t>。</w:t>
            </w:r>
          </w:p>
          <w:p>
            <w:pPr>
              <w:spacing w:line="360" w:lineRule="auto"/>
              <w:ind w:firstLine="482" w:firstLineChars="200"/>
              <w:jc w:val="left"/>
              <w:rPr>
                <w:rFonts w:hint="eastAsia"/>
                <w:color w:val="auto"/>
                <w:kern w:val="0"/>
                <w:sz w:val="24"/>
                <w:szCs w:val="32"/>
              </w:rPr>
            </w:pPr>
            <w:r>
              <w:rPr>
                <w:rFonts w:hint="eastAsia" w:hAnsi="宋体"/>
                <w:b/>
                <w:bCs/>
                <w:color w:val="auto"/>
                <w:kern w:val="0"/>
                <w:sz w:val="24"/>
              </w:rPr>
              <w:t>1、</w:t>
            </w:r>
            <w:r>
              <w:rPr>
                <w:b/>
                <w:snapToGrid w:val="0"/>
                <w:color w:val="auto"/>
                <w:sz w:val="24"/>
              </w:rPr>
              <w:t>现有工程存在的主要环境问题</w:t>
            </w:r>
          </w:p>
          <w:p>
            <w:pPr>
              <w:spacing w:line="360" w:lineRule="auto"/>
              <w:ind w:firstLine="480" w:firstLineChars="200"/>
              <w:contextualSpacing/>
              <w:rPr>
                <w:rFonts w:hAnsi="宋体"/>
                <w:bCs/>
                <w:color w:val="auto"/>
                <w:sz w:val="24"/>
              </w:rPr>
            </w:pPr>
            <w:r>
              <w:rPr>
                <w:snapToGrid w:val="0"/>
                <w:color w:val="auto"/>
                <w:kern w:val="0"/>
                <w:sz w:val="24"/>
              </w:rPr>
              <w:t>根据现场调查，</w:t>
            </w:r>
            <w:r>
              <w:rPr>
                <w:rFonts w:hint="eastAsia"/>
                <w:snapToGrid w:val="0"/>
                <w:color w:val="auto"/>
                <w:kern w:val="0"/>
                <w:sz w:val="24"/>
              </w:rPr>
              <w:t>厂区</w:t>
            </w:r>
            <w:r>
              <w:rPr>
                <w:rFonts w:hint="eastAsia" w:hAnsi="宋体"/>
                <w:color w:val="auto"/>
                <w:sz w:val="24"/>
              </w:rPr>
              <w:t>1台7MW燃生物质热水</w:t>
            </w:r>
            <w:r>
              <w:rPr>
                <w:rFonts w:hAnsi="宋体"/>
                <w:color w:val="auto"/>
                <w:sz w:val="24"/>
              </w:rPr>
              <w:t>锅炉，</w:t>
            </w:r>
            <w:r>
              <w:rPr>
                <w:rFonts w:hint="eastAsia" w:hAnsi="宋体"/>
                <w:color w:val="auto"/>
                <w:sz w:val="24"/>
              </w:rPr>
              <w:t>除尘</w:t>
            </w:r>
            <w:r>
              <w:rPr>
                <w:rFonts w:hAnsi="宋体"/>
                <w:color w:val="auto"/>
                <w:sz w:val="24"/>
              </w:rPr>
              <w:t>措施为陶瓷多管除尘器，不属于可行性技术。</w:t>
            </w:r>
          </w:p>
          <w:p>
            <w:pPr>
              <w:spacing w:line="360" w:lineRule="auto"/>
              <w:ind w:firstLine="482" w:firstLineChars="200"/>
              <w:contextualSpacing/>
              <w:rPr>
                <w:rFonts w:hAnsi="宋体"/>
                <w:b/>
                <w:bCs/>
                <w:color w:val="auto"/>
                <w:sz w:val="24"/>
              </w:rPr>
            </w:pPr>
            <w:r>
              <w:rPr>
                <w:rFonts w:hint="eastAsia" w:hAnsi="宋体"/>
                <w:b/>
                <w:bCs/>
                <w:color w:val="auto"/>
                <w:sz w:val="24"/>
              </w:rPr>
              <w:t>2、整改措施</w:t>
            </w:r>
          </w:p>
          <w:p>
            <w:pPr>
              <w:widowControl/>
              <w:spacing w:line="360" w:lineRule="auto"/>
              <w:ind w:firstLine="480" w:firstLineChars="200"/>
              <w:contextualSpacing/>
              <w:rPr>
                <w:rFonts w:hAnsi="宋体"/>
                <w:color w:val="auto"/>
                <w:sz w:val="24"/>
              </w:rPr>
            </w:pPr>
            <w:r>
              <w:rPr>
                <w:rFonts w:hint="eastAsia"/>
                <w:snapToGrid w:val="0"/>
                <w:color w:val="auto"/>
                <w:kern w:val="0"/>
                <w:sz w:val="24"/>
              </w:rPr>
              <w:t>将厂区</w:t>
            </w:r>
            <w:r>
              <w:rPr>
                <w:rFonts w:hint="eastAsia" w:hAnsi="宋体"/>
                <w:color w:val="auto"/>
                <w:sz w:val="24"/>
              </w:rPr>
              <w:t>一台1台7MW生物质热水</w:t>
            </w:r>
            <w:r>
              <w:rPr>
                <w:rFonts w:hAnsi="宋体"/>
                <w:color w:val="auto"/>
                <w:sz w:val="24"/>
              </w:rPr>
              <w:t>锅炉</w:t>
            </w:r>
            <w:r>
              <w:rPr>
                <w:rFonts w:hint="eastAsia" w:hAnsi="宋体"/>
                <w:color w:val="auto"/>
                <w:sz w:val="24"/>
              </w:rPr>
              <w:t>除尘</w:t>
            </w:r>
            <w:r>
              <w:rPr>
                <w:rFonts w:hAnsi="宋体"/>
                <w:color w:val="auto"/>
                <w:sz w:val="24"/>
              </w:rPr>
              <w:t>措施</w:t>
            </w:r>
            <w:r>
              <w:rPr>
                <w:rFonts w:hint="eastAsia" w:hAnsi="宋体"/>
                <w:color w:val="auto"/>
                <w:sz w:val="24"/>
              </w:rPr>
              <w:t>改造</w:t>
            </w:r>
            <w:r>
              <w:rPr>
                <w:rFonts w:hAnsi="宋体"/>
                <w:color w:val="auto"/>
                <w:sz w:val="24"/>
              </w:rPr>
              <w:t>为陶瓷多管</w:t>
            </w:r>
            <w:r>
              <w:rPr>
                <w:rFonts w:hint="eastAsia" w:hAnsi="宋体"/>
                <w:color w:val="auto"/>
                <w:sz w:val="24"/>
              </w:rPr>
              <w:t>+布袋除尘器</w:t>
            </w:r>
            <w:r>
              <w:rPr>
                <w:rFonts w:hint="eastAsia" w:hAnsi="宋体"/>
                <w:bCs/>
                <w:color w:val="auto"/>
                <w:sz w:val="24"/>
              </w:rPr>
              <w:t>。</w:t>
            </w:r>
          </w:p>
          <w:p>
            <w:pPr>
              <w:spacing w:line="360" w:lineRule="auto"/>
              <w:ind w:firstLine="480" w:firstLineChars="200"/>
              <w:jc w:val="left"/>
              <w:rPr>
                <w:rFonts w:hint="eastAsia"/>
                <w:color w:val="auto"/>
                <w:kern w:val="0"/>
                <w:sz w:val="24"/>
                <w:szCs w:val="32"/>
              </w:rPr>
            </w:pPr>
          </w:p>
          <w:p>
            <w:pPr>
              <w:spacing w:line="360" w:lineRule="auto"/>
              <w:ind w:firstLine="480" w:firstLineChars="200"/>
              <w:jc w:val="left"/>
              <w:rPr>
                <w:rFonts w:hint="eastAsia"/>
                <w:color w:val="auto"/>
                <w:kern w:val="0"/>
                <w:sz w:val="24"/>
                <w:szCs w:val="32"/>
              </w:rPr>
            </w:pPr>
          </w:p>
          <w:p>
            <w:pPr>
              <w:spacing w:line="360" w:lineRule="auto"/>
              <w:ind w:firstLine="480" w:firstLineChars="200"/>
              <w:jc w:val="left"/>
              <w:rPr>
                <w:rFonts w:hint="eastAsia"/>
                <w:color w:val="auto"/>
                <w:kern w:val="0"/>
                <w:sz w:val="24"/>
                <w:szCs w:val="32"/>
              </w:rPr>
            </w:pPr>
          </w:p>
          <w:p>
            <w:pPr>
              <w:spacing w:line="360" w:lineRule="auto"/>
              <w:ind w:firstLine="480" w:firstLineChars="200"/>
              <w:jc w:val="left"/>
              <w:rPr>
                <w:rFonts w:hint="eastAsia"/>
                <w:color w:val="auto"/>
                <w:kern w:val="0"/>
                <w:sz w:val="24"/>
                <w:szCs w:val="32"/>
              </w:rPr>
            </w:pPr>
          </w:p>
          <w:p>
            <w:pPr>
              <w:spacing w:line="360" w:lineRule="auto"/>
              <w:ind w:firstLine="480" w:firstLineChars="200"/>
              <w:jc w:val="left"/>
              <w:rPr>
                <w:rFonts w:hint="eastAsia"/>
                <w:color w:val="auto"/>
                <w:kern w:val="0"/>
                <w:sz w:val="24"/>
                <w:szCs w:val="32"/>
              </w:rPr>
            </w:pPr>
          </w:p>
          <w:p>
            <w:pPr>
              <w:spacing w:line="360" w:lineRule="auto"/>
              <w:ind w:firstLine="480" w:firstLineChars="200"/>
              <w:jc w:val="left"/>
              <w:rPr>
                <w:rFonts w:hint="eastAsia"/>
                <w:color w:val="auto"/>
                <w:kern w:val="0"/>
                <w:sz w:val="24"/>
                <w:szCs w:val="32"/>
              </w:rPr>
            </w:pPr>
          </w:p>
          <w:p>
            <w:pPr>
              <w:spacing w:line="360" w:lineRule="auto"/>
              <w:ind w:firstLine="480" w:firstLineChars="200"/>
              <w:jc w:val="left"/>
              <w:rPr>
                <w:rFonts w:hint="eastAsia"/>
                <w:color w:val="auto"/>
                <w:kern w:val="0"/>
                <w:sz w:val="24"/>
                <w:szCs w:val="32"/>
              </w:rPr>
            </w:pPr>
          </w:p>
          <w:p>
            <w:pPr>
              <w:spacing w:line="360" w:lineRule="auto"/>
              <w:ind w:firstLine="480" w:firstLineChars="200"/>
              <w:jc w:val="left"/>
              <w:rPr>
                <w:rFonts w:hint="eastAsia"/>
                <w:color w:val="auto"/>
                <w:kern w:val="0"/>
                <w:sz w:val="24"/>
                <w:szCs w:val="32"/>
              </w:rPr>
            </w:pPr>
          </w:p>
          <w:p>
            <w:pPr>
              <w:spacing w:line="360" w:lineRule="auto"/>
              <w:ind w:firstLine="480" w:firstLineChars="200"/>
              <w:jc w:val="left"/>
              <w:rPr>
                <w:rFonts w:hint="eastAsia"/>
                <w:color w:val="auto"/>
                <w:kern w:val="0"/>
                <w:sz w:val="24"/>
                <w:szCs w:val="32"/>
              </w:rPr>
            </w:pPr>
          </w:p>
          <w:p>
            <w:pPr>
              <w:spacing w:line="360" w:lineRule="auto"/>
              <w:ind w:firstLine="480" w:firstLineChars="200"/>
              <w:jc w:val="left"/>
              <w:rPr>
                <w:rFonts w:hint="eastAsia"/>
                <w:color w:val="auto"/>
                <w:kern w:val="0"/>
                <w:sz w:val="24"/>
                <w:szCs w:val="32"/>
              </w:rPr>
            </w:pPr>
          </w:p>
          <w:p>
            <w:pPr>
              <w:spacing w:line="360" w:lineRule="auto"/>
              <w:ind w:firstLine="480" w:firstLineChars="200"/>
              <w:jc w:val="left"/>
              <w:rPr>
                <w:rFonts w:hint="eastAsia"/>
                <w:color w:val="auto"/>
                <w:kern w:val="0"/>
                <w:sz w:val="24"/>
                <w:szCs w:val="32"/>
              </w:rPr>
            </w:pPr>
          </w:p>
          <w:p>
            <w:pPr>
              <w:spacing w:line="360" w:lineRule="auto"/>
              <w:ind w:firstLine="480" w:firstLineChars="200"/>
              <w:jc w:val="left"/>
              <w:rPr>
                <w:rFonts w:hint="eastAsia"/>
                <w:color w:val="auto"/>
                <w:kern w:val="0"/>
                <w:sz w:val="24"/>
                <w:szCs w:val="32"/>
              </w:rPr>
            </w:pPr>
          </w:p>
          <w:p>
            <w:pPr>
              <w:spacing w:line="360" w:lineRule="auto"/>
              <w:jc w:val="left"/>
              <w:rPr>
                <w:rFonts w:hint="eastAsia"/>
                <w:color w:val="auto"/>
                <w:kern w:val="0"/>
                <w:sz w:val="24"/>
                <w:szCs w:val="32"/>
              </w:rPr>
            </w:pPr>
          </w:p>
          <w:p>
            <w:pPr>
              <w:spacing w:line="360" w:lineRule="auto"/>
              <w:jc w:val="left"/>
              <w:rPr>
                <w:rFonts w:hint="eastAsia"/>
                <w:color w:val="auto"/>
                <w:kern w:val="0"/>
                <w:sz w:val="24"/>
                <w:szCs w:val="32"/>
              </w:rPr>
            </w:pPr>
          </w:p>
        </w:tc>
      </w:tr>
    </w:tbl>
    <w:p>
      <w:pPr>
        <w:pStyle w:val="12"/>
        <w:jc w:val="center"/>
        <w:outlineLvl w:val="0"/>
        <w:rPr>
          <w:rFonts w:ascii="Times New Roman" w:hAnsi="Times New Roman"/>
          <w:snapToGrid w:val="0"/>
          <w:color w:val="auto"/>
          <w:sz w:val="30"/>
          <w:szCs w:val="30"/>
        </w:rPr>
      </w:pPr>
      <w:bookmarkStart w:id="9" w:name="_Toc152227242"/>
      <w:bookmarkStart w:id="10" w:name="_Hlk150936587"/>
      <w:r>
        <w:rPr>
          <w:rFonts w:ascii="Times New Roman" w:hAnsi="Times New Roman"/>
          <w:snapToGrid w:val="0"/>
          <w:color w:val="auto"/>
          <w:sz w:val="30"/>
          <w:szCs w:val="30"/>
        </w:rPr>
        <w:t>三、区域环境质量现状、环境保护目标及评价标准</w:t>
      </w:r>
      <w:bookmarkEnd w:id="9"/>
    </w:p>
    <w:tbl>
      <w:tblPr>
        <w:tblStyle w:val="1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63" w:hRule="atLeast"/>
          <w:jc w:val="center"/>
        </w:trPr>
        <w:tc>
          <w:tcPr>
            <w:tcW w:w="800" w:type="dxa"/>
            <w:noWrap w:val="0"/>
            <w:vAlign w:val="center"/>
          </w:tcPr>
          <w:p>
            <w:pPr>
              <w:adjustRightInd w:val="0"/>
              <w:snapToGrid w:val="0"/>
              <w:jc w:val="center"/>
              <w:rPr>
                <w:color w:val="auto"/>
                <w:kern w:val="0"/>
                <w:sz w:val="24"/>
              </w:rPr>
            </w:pPr>
            <w:r>
              <w:rPr>
                <w:color w:val="auto"/>
                <w:kern w:val="0"/>
                <w:sz w:val="24"/>
              </w:rPr>
              <w:t>区域</w:t>
            </w:r>
          </w:p>
          <w:p>
            <w:pPr>
              <w:adjustRightInd w:val="0"/>
              <w:snapToGrid w:val="0"/>
              <w:jc w:val="center"/>
              <w:rPr>
                <w:color w:val="auto"/>
                <w:kern w:val="0"/>
                <w:sz w:val="24"/>
              </w:rPr>
            </w:pPr>
            <w:r>
              <w:rPr>
                <w:color w:val="auto"/>
                <w:kern w:val="0"/>
                <w:sz w:val="24"/>
              </w:rPr>
              <w:t>环境</w:t>
            </w:r>
          </w:p>
          <w:p>
            <w:pPr>
              <w:adjustRightInd w:val="0"/>
              <w:snapToGrid w:val="0"/>
              <w:jc w:val="center"/>
              <w:rPr>
                <w:color w:val="auto"/>
                <w:kern w:val="0"/>
                <w:sz w:val="24"/>
              </w:rPr>
            </w:pPr>
            <w:r>
              <w:rPr>
                <w:color w:val="auto"/>
                <w:kern w:val="0"/>
                <w:sz w:val="24"/>
              </w:rPr>
              <w:t>质量</w:t>
            </w:r>
          </w:p>
          <w:p>
            <w:pPr>
              <w:adjustRightInd w:val="0"/>
              <w:snapToGrid w:val="0"/>
              <w:jc w:val="center"/>
              <w:rPr>
                <w:color w:val="auto"/>
                <w:kern w:val="0"/>
                <w:szCs w:val="21"/>
              </w:rPr>
            </w:pPr>
            <w:r>
              <w:rPr>
                <w:color w:val="auto"/>
                <w:kern w:val="0"/>
                <w:sz w:val="24"/>
              </w:rPr>
              <w:t>现状</w:t>
            </w:r>
          </w:p>
        </w:tc>
        <w:tc>
          <w:tcPr>
            <w:tcW w:w="8190" w:type="dxa"/>
            <w:noWrap w:val="0"/>
            <w:vAlign w:val="center"/>
          </w:tcPr>
          <w:p>
            <w:pPr>
              <w:pStyle w:val="34"/>
              <w:spacing w:beforeLines="0" w:afterLines="0" w:line="360" w:lineRule="auto"/>
              <w:ind w:firstLine="482"/>
              <w:contextualSpacing/>
              <w:rPr>
                <w:b/>
                <w:color w:val="auto"/>
                <w:lang w:val="en-US" w:eastAsia="zh-CN"/>
              </w:rPr>
            </w:pPr>
            <w:r>
              <w:rPr>
                <w:b/>
                <w:color w:val="auto"/>
                <w:lang w:val="en-US" w:eastAsia="zh-CN"/>
              </w:rPr>
              <w:t>1、环境空气</w:t>
            </w:r>
          </w:p>
          <w:p>
            <w:pPr>
              <w:spacing w:line="360" w:lineRule="auto"/>
              <w:ind w:firstLine="482"/>
              <w:jc w:val="left"/>
              <w:rPr>
                <w:bCs/>
                <w:color w:val="auto"/>
                <w:sz w:val="24"/>
              </w:rPr>
            </w:pPr>
            <w:r>
              <w:rPr>
                <w:bCs/>
                <w:color w:val="auto"/>
                <w:sz w:val="24"/>
              </w:rPr>
              <w:t>根据《绥化市环境质量年报（2022年度）》</w:t>
            </w:r>
            <w:r>
              <w:rPr>
                <w:rFonts w:hint="eastAsia"/>
                <w:bCs/>
                <w:color w:val="auto"/>
                <w:sz w:val="24"/>
              </w:rPr>
              <w:t>：</w:t>
            </w:r>
            <w:r>
              <w:rPr>
                <w:bCs/>
                <w:color w:val="auto"/>
                <w:sz w:val="24"/>
              </w:rPr>
              <w:t>2022年绥化市空气质量级别劣于二级，空气质量综合指数为3.26，同比升高2.5%，PM</w:t>
            </w:r>
            <w:r>
              <w:rPr>
                <w:bCs/>
                <w:color w:val="auto"/>
                <w:sz w:val="24"/>
                <w:vertAlign w:val="subscript"/>
              </w:rPr>
              <w:t>10</w:t>
            </w:r>
            <w:r>
              <w:rPr>
                <w:bCs/>
                <w:color w:val="auto"/>
                <w:sz w:val="24"/>
              </w:rPr>
              <w:t>年均浓度为49μg/m</w:t>
            </w:r>
            <w:r>
              <w:rPr>
                <w:bCs/>
                <w:color w:val="auto"/>
                <w:sz w:val="24"/>
                <w:vertAlign w:val="superscript"/>
              </w:rPr>
              <w:t>3</w:t>
            </w:r>
            <w:r>
              <w:rPr>
                <w:bCs/>
                <w:color w:val="auto"/>
                <w:sz w:val="24"/>
              </w:rPr>
              <w:t>，SO</w:t>
            </w:r>
            <w:r>
              <w:rPr>
                <w:bCs/>
                <w:color w:val="auto"/>
                <w:sz w:val="24"/>
                <w:vertAlign w:val="subscript"/>
              </w:rPr>
              <w:t>2</w:t>
            </w:r>
            <w:r>
              <w:rPr>
                <w:bCs/>
                <w:color w:val="auto"/>
                <w:sz w:val="24"/>
              </w:rPr>
              <w:t>年均浓度为7μg/m</w:t>
            </w:r>
            <w:r>
              <w:rPr>
                <w:bCs/>
                <w:color w:val="auto"/>
                <w:sz w:val="24"/>
                <w:vertAlign w:val="superscript"/>
              </w:rPr>
              <w:t>3</w:t>
            </w:r>
            <w:r>
              <w:rPr>
                <w:bCs/>
                <w:color w:val="auto"/>
                <w:sz w:val="24"/>
              </w:rPr>
              <w:t>，NO</w:t>
            </w:r>
            <w:r>
              <w:rPr>
                <w:bCs/>
                <w:color w:val="auto"/>
                <w:sz w:val="24"/>
                <w:vertAlign w:val="subscript"/>
              </w:rPr>
              <w:t>2</w:t>
            </w:r>
            <w:r>
              <w:rPr>
                <w:bCs/>
                <w:color w:val="auto"/>
                <w:sz w:val="24"/>
              </w:rPr>
              <w:t>年均浓度为16μg/m</w:t>
            </w:r>
            <w:r>
              <w:rPr>
                <w:bCs/>
                <w:color w:val="auto"/>
                <w:sz w:val="24"/>
                <w:vertAlign w:val="superscript"/>
              </w:rPr>
              <w:t>3</w:t>
            </w:r>
            <w:r>
              <w:rPr>
                <w:bCs/>
                <w:color w:val="auto"/>
                <w:sz w:val="24"/>
              </w:rPr>
              <w:t>，PM</w:t>
            </w:r>
            <w:r>
              <w:rPr>
                <w:bCs/>
                <w:color w:val="auto"/>
                <w:sz w:val="24"/>
                <w:vertAlign w:val="subscript"/>
              </w:rPr>
              <w:t>2.5</w:t>
            </w:r>
            <w:r>
              <w:rPr>
                <w:bCs/>
                <w:color w:val="auto"/>
                <w:sz w:val="24"/>
              </w:rPr>
              <w:t>年均浓度为36μg/m</w:t>
            </w:r>
            <w:r>
              <w:rPr>
                <w:bCs/>
                <w:color w:val="auto"/>
                <w:sz w:val="24"/>
                <w:vertAlign w:val="superscript"/>
              </w:rPr>
              <w:t>3</w:t>
            </w:r>
            <w:r>
              <w:rPr>
                <w:bCs/>
                <w:color w:val="auto"/>
                <w:sz w:val="24"/>
              </w:rPr>
              <w:t>，一氧化碳24小时平均第95百分位数浓度1.2mg/m</w:t>
            </w:r>
            <w:r>
              <w:rPr>
                <w:bCs/>
                <w:color w:val="auto"/>
                <w:sz w:val="24"/>
                <w:vertAlign w:val="superscript"/>
              </w:rPr>
              <w:t>3</w:t>
            </w:r>
            <w:r>
              <w:rPr>
                <w:bCs/>
                <w:color w:val="auto"/>
                <w:sz w:val="24"/>
              </w:rPr>
              <w:t>，O</w:t>
            </w:r>
            <w:r>
              <w:rPr>
                <w:bCs/>
                <w:color w:val="auto"/>
                <w:sz w:val="24"/>
                <w:vertAlign w:val="subscript"/>
              </w:rPr>
              <w:t>3</w:t>
            </w:r>
            <w:r>
              <w:rPr>
                <w:bCs/>
                <w:color w:val="auto"/>
                <w:sz w:val="24"/>
              </w:rPr>
              <w:t>日最大 8 小时平均第 90 百分位数浓度为113μg/m</w:t>
            </w:r>
            <w:r>
              <w:rPr>
                <w:bCs/>
                <w:color w:val="auto"/>
                <w:sz w:val="24"/>
                <w:vertAlign w:val="superscript"/>
              </w:rPr>
              <w:t>3</w:t>
            </w:r>
            <w:r>
              <w:rPr>
                <w:bCs/>
                <w:color w:val="auto"/>
                <w:sz w:val="24"/>
              </w:rPr>
              <w:t>。有效监测天数为363天，达标天数为316天，达标率为87.1%，与去年同期持平。综上所述，PM</w:t>
            </w:r>
            <w:r>
              <w:rPr>
                <w:bCs/>
                <w:color w:val="auto"/>
                <w:sz w:val="24"/>
                <w:vertAlign w:val="subscript"/>
              </w:rPr>
              <w:t>10</w:t>
            </w:r>
            <w:r>
              <w:rPr>
                <w:bCs/>
                <w:color w:val="auto"/>
                <w:sz w:val="24"/>
              </w:rPr>
              <w:t>、SO</w:t>
            </w:r>
            <w:r>
              <w:rPr>
                <w:bCs/>
                <w:color w:val="auto"/>
                <w:sz w:val="24"/>
                <w:vertAlign w:val="subscript"/>
              </w:rPr>
              <w:t>2</w:t>
            </w:r>
            <w:r>
              <w:rPr>
                <w:bCs/>
                <w:color w:val="auto"/>
                <w:sz w:val="24"/>
              </w:rPr>
              <w:t>、NO</w:t>
            </w:r>
            <w:r>
              <w:rPr>
                <w:bCs/>
                <w:color w:val="auto"/>
                <w:sz w:val="24"/>
                <w:vertAlign w:val="subscript"/>
              </w:rPr>
              <w:t>2</w:t>
            </w:r>
            <w:r>
              <w:rPr>
                <w:bCs/>
                <w:color w:val="auto"/>
                <w:sz w:val="24"/>
              </w:rPr>
              <w:t>、CO、O</w:t>
            </w:r>
            <w:r>
              <w:rPr>
                <w:bCs/>
                <w:color w:val="auto"/>
                <w:sz w:val="24"/>
                <w:vertAlign w:val="subscript"/>
              </w:rPr>
              <w:t>3</w:t>
            </w:r>
            <w:r>
              <w:rPr>
                <w:bCs/>
                <w:color w:val="auto"/>
                <w:sz w:val="24"/>
              </w:rPr>
              <w:t>均满足《环境空气质量标准》（GB3095-2012）二级标准，超标因子为细颗粒物（PM</w:t>
            </w:r>
            <w:r>
              <w:rPr>
                <w:bCs/>
                <w:color w:val="auto"/>
                <w:sz w:val="24"/>
                <w:vertAlign w:val="subscript"/>
              </w:rPr>
              <w:t>2.5</w:t>
            </w:r>
            <w:r>
              <w:rPr>
                <w:bCs/>
                <w:color w:val="auto"/>
                <w:sz w:val="24"/>
              </w:rPr>
              <w:t>）。本项目所在区域</w:t>
            </w:r>
            <w:r>
              <w:rPr>
                <w:rFonts w:hint="eastAsia"/>
                <w:bCs/>
                <w:color w:val="auto"/>
                <w:sz w:val="24"/>
              </w:rPr>
              <w:t>为</w:t>
            </w:r>
            <w:r>
              <w:rPr>
                <w:bCs/>
                <w:color w:val="auto"/>
                <w:sz w:val="24"/>
              </w:rPr>
              <w:t>不达标区。</w:t>
            </w:r>
          </w:p>
          <w:p>
            <w:pPr>
              <w:spacing w:line="360" w:lineRule="auto"/>
              <w:ind w:firstLine="480" w:firstLineChars="200"/>
              <w:contextualSpacing/>
              <w:jc w:val="left"/>
              <w:rPr>
                <w:rFonts w:hint="eastAsia"/>
                <w:bCs/>
                <w:color w:val="auto"/>
                <w:sz w:val="24"/>
              </w:rPr>
            </w:pPr>
            <w:r>
              <w:rPr>
                <w:rFonts w:hint="eastAsia"/>
                <w:bCs/>
                <w:color w:val="auto"/>
                <w:sz w:val="24"/>
              </w:rPr>
              <w:t>根据《建设项目环境影响报告表编制技术指南污染影响类》：排放国家、地方环境空气质量标准中有标准限值要求的特征污染物时，引用建设项目周边</w:t>
            </w:r>
            <w:r>
              <w:rPr>
                <w:bCs/>
                <w:color w:val="auto"/>
                <w:sz w:val="24"/>
              </w:rPr>
              <w:t>5</w:t>
            </w:r>
            <w:r>
              <w:rPr>
                <w:rFonts w:hint="eastAsia"/>
                <w:bCs/>
                <w:color w:val="auto"/>
                <w:sz w:val="24"/>
              </w:rPr>
              <w:t>千米范围内近</w:t>
            </w:r>
            <w:r>
              <w:rPr>
                <w:bCs/>
                <w:color w:val="auto"/>
                <w:sz w:val="24"/>
              </w:rPr>
              <w:t>3</w:t>
            </w:r>
            <w:r>
              <w:rPr>
                <w:rFonts w:hint="eastAsia"/>
                <w:bCs/>
                <w:color w:val="auto"/>
                <w:sz w:val="24"/>
              </w:rPr>
              <w:t>年的现有监测数据，无相关数据的选择当季主导风向下风向</w:t>
            </w:r>
            <w:r>
              <w:rPr>
                <w:bCs/>
                <w:color w:val="auto"/>
                <w:sz w:val="24"/>
              </w:rPr>
              <w:t>1</w:t>
            </w:r>
            <w:r>
              <w:rPr>
                <w:rFonts w:hint="eastAsia"/>
                <w:bCs/>
                <w:color w:val="auto"/>
                <w:sz w:val="24"/>
              </w:rPr>
              <w:t>个点位补充不少于</w:t>
            </w:r>
            <w:r>
              <w:rPr>
                <w:bCs/>
                <w:color w:val="auto"/>
                <w:sz w:val="24"/>
              </w:rPr>
              <w:t>3</w:t>
            </w:r>
            <w:r>
              <w:rPr>
                <w:rFonts w:hint="eastAsia"/>
                <w:bCs/>
                <w:color w:val="auto"/>
                <w:sz w:val="24"/>
              </w:rPr>
              <w:t>天的监测数据。因此本次评价在项目厂区东南角当季主导风向下风向28m处设置1个现状监测点，选取氮氧化物、T</w:t>
            </w:r>
            <w:r>
              <w:rPr>
                <w:bCs/>
                <w:color w:val="auto"/>
                <w:sz w:val="24"/>
              </w:rPr>
              <w:t>SP</w:t>
            </w:r>
            <w:r>
              <w:rPr>
                <w:rFonts w:hint="eastAsia"/>
                <w:bCs/>
                <w:color w:val="auto"/>
                <w:sz w:val="24"/>
              </w:rPr>
              <w:t>作为监测因子。根据哈尔滨新巨环保科技有限公司出具的监测报告可知：</w:t>
            </w:r>
            <w:r>
              <w:rPr>
                <w:bCs/>
                <w:color w:val="auto"/>
                <w:sz w:val="24"/>
              </w:rPr>
              <w:t>202</w:t>
            </w:r>
            <w:r>
              <w:rPr>
                <w:rFonts w:hint="eastAsia"/>
                <w:bCs/>
                <w:color w:val="auto"/>
                <w:sz w:val="24"/>
              </w:rPr>
              <w:t>4</w:t>
            </w:r>
            <w:r>
              <w:rPr>
                <w:bCs/>
                <w:color w:val="auto"/>
                <w:sz w:val="24"/>
              </w:rPr>
              <w:t>年</w:t>
            </w:r>
            <w:r>
              <w:rPr>
                <w:rFonts w:hint="eastAsia"/>
                <w:bCs/>
                <w:color w:val="auto"/>
                <w:sz w:val="24"/>
              </w:rPr>
              <w:t>03</w:t>
            </w:r>
            <w:r>
              <w:rPr>
                <w:bCs/>
                <w:color w:val="auto"/>
                <w:sz w:val="24"/>
              </w:rPr>
              <w:t>月</w:t>
            </w:r>
            <w:r>
              <w:rPr>
                <w:rFonts w:hint="eastAsia"/>
                <w:bCs/>
                <w:color w:val="auto"/>
                <w:sz w:val="24"/>
              </w:rPr>
              <w:t>02</w:t>
            </w:r>
            <w:r>
              <w:rPr>
                <w:bCs/>
                <w:color w:val="auto"/>
                <w:sz w:val="24"/>
              </w:rPr>
              <w:t>日~</w:t>
            </w:r>
            <w:r>
              <w:rPr>
                <w:rFonts w:hint="eastAsia"/>
                <w:bCs/>
                <w:color w:val="auto"/>
                <w:sz w:val="24"/>
              </w:rPr>
              <w:t>04</w:t>
            </w:r>
            <w:r>
              <w:rPr>
                <w:bCs/>
                <w:color w:val="auto"/>
                <w:sz w:val="24"/>
              </w:rPr>
              <w:t>日本项目厂址下风</w:t>
            </w:r>
            <w:r>
              <w:rPr>
                <w:rFonts w:hint="eastAsia"/>
                <w:bCs/>
                <w:color w:val="auto"/>
                <w:sz w:val="24"/>
              </w:rPr>
              <w:t>向</w:t>
            </w:r>
            <w:r>
              <w:rPr>
                <w:bCs/>
                <w:color w:val="auto"/>
                <w:sz w:val="24"/>
              </w:rPr>
              <w:t>TSP日均</w:t>
            </w:r>
            <w:r>
              <w:rPr>
                <w:rFonts w:hint="eastAsia"/>
                <w:bCs/>
                <w:color w:val="auto"/>
                <w:sz w:val="24"/>
              </w:rPr>
              <w:t>浓度</w:t>
            </w:r>
            <w:r>
              <w:rPr>
                <w:bCs/>
                <w:color w:val="auto"/>
                <w:sz w:val="24"/>
              </w:rPr>
              <w:t>值为0.08</w:t>
            </w:r>
            <w:r>
              <w:rPr>
                <w:rFonts w:hint="eastAsia"/>
                <w:bCs/>
                <w:color w:val="auto"/>
                <w:sz w:val="24"/>
              </w:rPr>
              <w:t>2</w:t>
            </w:r>
            <w:r>
              <w:rPr>
                <w:bCs/>
                <w:color w:val="auto"/>
                <w:sz w:val="24"/>
              </w:rPr>
              <w:t>~0.08</w:t>
            </w:r>
            <w:r>
              <w:rPr>
                <w:rFonts w:hint="eastAsia"/>
                <w:bCs/>
                <w:color w:val="auto"/>
                <w:sz w:val="24"/>
              </w:rPr>
              <w:t>5</w:t>
            </w:r>
            <w:r>
              <w:rPr>
                <w:bCs/>
                <w:color w:val="auto"/>
                <w:sz w:val="24"/>
              </w:rPr>
              <w:t>mg/m</w:t>
            </w:r>
            <w:r>
              <w:rPr>
                <w:bCs/>
                <w:color w:val="auto"/>
                <w:sz w:val="24"/>
                <w:vertAlign w:val="superscript"/>
              </w:rPr>
              <w:t>3</w:t>
            </w:r>
            <w:r>
              <w:rPr>
                <w:bCs/>
                <w:color w:val="auto"/>
                <w:sz w:val="24"/>
              </w:rPr>
              <w:t>；NOx日均</w:t>
            </w:r>
            <w:r>
              <w:rPr>
                <w:rFonts w:hint="eastAsia"/>
                <w:bCs/>
                <w:color w:val="auto"/>
                <w:sz w:val="24"/>
              </w:rPr>
              <w:t>浓度值</w:t>
            </w:r>
            <w:r>
              <w:rPr>
                <w:bCs/>
                <w:color w:val="auto"/>
                <w:sz w:val="24"/>
              </w:rPr>
              <w:t>为0.04</w:t>
            </w:r>
            <w:r>
              <w:rPr>
                <w:rFonts w:hint="eastAsia"/>
                <w:bCs/>
                <w:color w:val="auto"/>
                <w:sz w:val="24"/>
              </w:rPr>
              <w:t>2</w:t>
            </w:r>
            <w:r>
              <w:rPr>
                <w:bCs/>
                <w:color w:val="auto"/>
                <w:sz w:val="24"/>
              </w:rPr>
              <w:t>~0.05</w:t>
            </w:r>
            <w:r>
              <w:rPr>
                <w:rFonts w:hint="eastAsia"/>
                <w:bCs/>
                <w:color w:val="auto"/>
                <w:sz w:val="24"/>
              </w:rPr>
              <w:t>5</w:t>
            </w:r>
            <w:r>
              <w:rPr>
                <w:bCs/>
                <w:color w:val="auto"/>
                <w:sz w:val="24"/>
              </w:rPr>
              <w:t>mg/m</w:t>
            </w:r>
            <w:r>
              <w:rPr>
                <w:bCs/>
                <w:color w:val="auto"/>
                <w:sz w:val="24"/>
                <w:vertAlign w:val="superscript"/>
              </w:rPr>
              <w:t>3</w:t>
            </w:r>
            <w:r>
              <w:rPr>
                <w:bCs/>
                <w:color w:val="auto"/>
                <w:sz w:val="24"/>
              </w:rPr>
              <w:t>，小时</w:t>
            </w:r>
            <w:r>
              <w:rPr>
                <w:rFonts w:hint="eastAsia"/>
                <w:bCs/>
                <w:color w:val="auto"/>
                <w:sz w:val="24"/>
              </w:rPr>
              <w:t>浓度值</w:t>
            </w:r>
            <w:r>
              <w:rPr>
                <w:bCs/>
                <w:color w:val="auto"/>
                <w:sz w:val="24"/>
              </w:rPr>
              <w:t>为0.05</w:t>
            </w:r>
            <w:r>
              <w:rPr>
                <w:rFonts w:hint="eastAsia"/>
                <w:bCs/>
                <w:color w:val="auto"/>
                <w:sz w:val="24"/>
              </w:rPr>
              <w:t>9</w:t>
            </w:r>
            <w:r>
              <w:rPr>
                <w:bCs/>
                <w:color w:val="auto"/>
                <w:sz w:val="24"/>
              </w:rPr>
              <w:t>~0.062mg/m</w:t>
            </w:r>
            <w:r>
              <w:rPr>
                <w:bCs/>
                <w:color w:val="auto"/>
                <w:sz w:val="24"/>
                <w:vertAlign w:val="superscript"/>
              </w:rPr>
              <w:t>3</w:t>
            </w:r>
            <w:r>
              <w:rPr>
                <w:bCs/>
                <w:color w:val="auto"/>
                <w:sz w:val="24"/>
              </w:rPr>
              <w:t>。</w:t>
            </w:r>
            <w:r>
              <w:rPr>
                <w:rFonts w:hint="eastAsia"/>
                <w:bCs/>
                <w:color w:val="auto"/>
                <w:sz w:val="24"/>
              </w:rPr>
              <w:t>均</w:t>
            </w:r>
            <w:r>
              <w:rPr>
                <w:bCs/>
                <w:color w:val="auto"/>
                <w:sz w:val="24"/>
              </w:rPr>
              <w:t>满足《环境空气质量标准》（GB3095</w:t>
            </w:r>
            <w:r>
              <w:rPr>
                <w:bCs/>
                <w:color w:val="auto"/>
                <w:sz w:val="24"/>
              </w:rPr>
              <w:sym w:font="Symbol" w:char="F02D"/>
            </w:r>
            <w:r>
              <w:rPr>
                <w:bCs/>
                <w:color w:val="auto"/>
                <w:sz w:val="24"/>
              </w:rPr>
              <w:t>2012）二级标准的浓度限值要求。</w:t>
            </w:r>
          </w:p>
          <w:p>
            <w:pPr>
              <w:pStyle w:val="34"/>
              <w:spacing w:beforeLines="0" w:afterLines="0" w:line="360" w:lineRule="auto"/>
              <w:ind w:firstLine="482"/>
              <w:contextualSpacing/>
              <w:rPr>
                <w:b/>
                <w:color w:val="auto"/>
                <w:lang w:val="en-US" w:eastAsia="zh-CN"/>
              </w:rPr>
            </w:pPr>
            <w:r>
              <w:rPr>
                <w:b/>
                <w:color w:val="auto"/>
                <w:lang w:val="en-US" w:eastAsia="zh-CN"/>
              </w:rPr>
              <w:t>2、地表水环境</w:t>
            </w:r>
          </w:p>
          <w:p>
            <w:pPr>
              <w:spacing w:line="360" w:lineRule="auto"/>
              <w:ind w:firstLine="480" w:firstLineChars="200"/>
              <w:jc w:val="left"/>
              <w:rPr>
                <w:color w:val="auto"/>
                <w:sz w:val="24"/>
              </w:rPr>
            </w:pPr>
            <w:r>
              <w:rPr>
                <w:color w:val="auto"/>
                <w:sz w:val="24"/>
              </w:rPr>
              <w:t>本项目所在地表水流域为呼兰河</w:t>
            </w:r>
            <w:r>
              <w:rPr>
                <w:rFonts w:hint="eastAsia"/>
                <w:color w:val="auto"/>
                <w:sz w:val="24"/>
              </w:rPr>
              <w:t>绥庆桥-</w:t>
            </w:r>
            <w:r>
              <w:rPr>
                <w:color w:val="auto"/>
                <w:sz w:val="24"/>
              </w:rPr>
              <w:t>绥望桥</w:t>
            </w:r>
            <w:r>
              <w:rPr>
                <w:rFonts w:hint="eastAsia"/>
                <w:color w:val="auto"/>
                <w:sz w:val="24"/>
              </w:rPr>
              <w:t>段</w:t>
            </w:r>
            <w:r>
              <w:rPr>
                <w:color w:val="auto"/>
                <w:sz w:val="24"/>
              </w:rPr>
              <w:t>，根据《</w:t>
            </w:r>
            <w:r>
              <w:rPr>
                <w:bCs/>
                <w:color w:val="auto"/>
                <w:sz w:val="24"/>
              </w:rPr>
              <w:t>绥化市环境质量年报（2022年度）</w:t>
            </w:r>
            <w:r>
              <w:rPr>
                <w:color w:val="auto"/>
                <w:sz w:val="24"/>
              </w:rPr>
              <w:t>》，</w:t>
            </w:r>
            <w:r>
              <w:rPr>
                <w:rFonts w:hint="eastAsia"/>
                <w:color w:val="auto"/>
                <w:sz w:val="24"/>
              </w:rPr>
              <w:t>绥庆桥断面水质类别为Ⅲ类，水质状况为“良好”；</w:t>
            </w:r>
            <w:r>
              <w:rPr>
                <w:color w:val="auto"/>
                <w:sz w:val="24"/>
              </w:rPr>
              <w:t>绥望桥断面水质类别为</w:t>
            </w:r>
            <w:r>
              <w:rPr>
                <w:rFonts w:hint="eastAsia"/>
                <w:color w:val="auto"/>
                <w:sz w:val="24"/>
              </w:rPr>
              <w:t>Ⅲ类，水质状况为</w:t>
            </w:r>
            <w:r>
              <w:rPr>
                <w:color w:val="auto"/>
                <w:sz w:val="24"/>
              </w:rPr>
              <w:t>“</w:t>
            </w:r>
            <w:r>
              <w:rPr>
                <w:rFonts w:hint="eastAsia"/>
                <w:color w:val="auto"/>
                <w:sz w:val="24"/>
              </w:rPr>
              <w:t>良好</w:t>
            </w:r>
            <w:r>
              <w:rPr>
                <w:color w:val="auto"/>
                <w:sz w:val="24"/>
              </w:rPr>
              <w:t>”</w:t>
            </w:r>
            <w:r>
              <w:rPr>
                <w:rFonts w:hint="eastAsia"/>
                <w:color w:val="auto"/>
                <w:sz w:val="24"/>
              </w:rPr>
              <w:t>，同比水质无明显变化</w:t>
            </w:r>
            <w:r>
              <w:rPr>
                <w:bCs/>
                <w:color w:val="auto"/>
                <w:kern w:val="0"/>
                <w:sz w:val="24"/>
              </w:rPr>
              <w:t>。</w:t>
            </w:r>
            <w:r>
              <w:rPr>
                <w:rFonts w:hint="eastAsia"/>
                <w:bCs/>
                <w:color w:val="auto"/>
                <w:kern w:val="0"/>
                <w:sz w:val="24"/>
              </w:rPr>
              <w:t>综上，</w:t>
            </w:r>
            <w:r>
              <w:rPr>
                <w:bCs/>
                <w:color w:val="auto"/>
                <w:kern w:val="0"/>
                <w:sz w:val="24"/>
              </w:rPr>
              <w:t>本项目地表水水质现状满足《地表水环境质量标准》(GB3838-2002) III类标准要求。</w:t>
            </w:r>
          </w:p>
          <w:p>
            <w:pPr>
              <w:pStyle w:val="34"/>
              <w:spacing w:beforeLines="0" w:afterLines="0" w:line="360" w:lineRule="auto"/>
              <w:ind w:firstLine="482"/>
              <w:contextualSpacing/>
              <w:rPr>
                <w:b/>
                <w:color w:val="auto"/>
                <w:lang w:val="en-US" w:eastAsia="zh-CN"/>
              </w:rPr>
            </w:pPr>
            <w:r>
              <w:rPr>
                <w:b/>
                <w:color w:val="auto"/>
                <w:lang w:val="en-US" w:eastAsia="zh-CN"/>
              </w:rPr>
              <w:t>3、声环境</w:t>
            </w:r>
          </w:p>
          <w:p>
            <w:pPr>
              <w:widowControl/>
              <w:spacing w:line="360" w:lineRule="auto"/>
              <w:ind w:firstLine="480" w:firstLineChars="200"/>
              <w:contextualSpacing/>
              <w:rPr>
                <w:bCs/>
                <w:color w:val="auto"/>
                <w:sz w:val="24"/>
              </w:rPr>
            </w:pPr>
            <w:r>
              <w:rPr>
                <w:bCs/>
                <w:color w:val="auto"/>
                <w:sz w:val="24"/>
              </w:rPr>
              <w:t>根据哈尔滨新巨环保科技有限公司于202</w:t>
            </w:r>
            <w:r>
              <w:rPr>
                <w:rFonts w:hint="eastAsia"/>
                <w:bCs/>
                <w:color w:val="auto"/>
                <w:sz w:val="24"/>
              </w:rPr>
              <w:t>4</w:t>
            </w:r>
            <w:r>
              <w:rPr>
                <w:bCs/>
                <w:color w:val="auto"/>
                <w:sz w:val="24"/>
              </w:rPr>
              <w:t>年</w:t>
            </w:r>
            <w:r>
              <w:rPr>
                <w:rFonts w:hint="eastAsia"/>
                <w:bCs/>
                <w:color w:val="auto"/>
                <w:sz w:val="24"/>
              </w:rPr>
              <w:t>03</w:t>
            </w:r>
            <w:r>
              <w:rPr>
                <w:bCs/>
                <w:color w:val="auto"/>
                <w:sz w:val="24"/>
              </w:rPr>
              <w:t>月</w:t>
            </w:r>
            <w:r>
              <w:rPr>
                <w:rFonts w:hint="eastAsia"/>
                <w:bCs/>
                <w:color w:val="auto"/>
                <w:sz w:val="24"/>
              </w:rPr>
              <w:t>02</w:t>
            </w:r>
            <w:r>
              <w:rPr>
                <w:bCs/>
                <w:color w:val="auto"/>
                <w:sz w:val="24"/>
              </w:rPr>
              <w:t>日对</w:t>
            </w:r>
            <w:r>
              <w:rPr>
                <w:rFonts w:hint="eastAsia"/>
                <w:bCs/>
                <w:color w:val="auto"/>
                <w:sz w:val="24"/>
              </w:rPr>
              <w:t>厂界50m范围内</w:t>
            </w:r>
            <w:r>
              <w:rPr>
                <w:bCs/>
                <w:color w:val="auto"/>
                <w:sz w:val="24"/>
              </w:rPr>
              <w:t>敏感点进行监测可知，敏感点噪声值见下表：</w:t>
            </w:r>
          </w:p>
          <w:p>
            <w:pPr>
              <w:spacing w:line="360" w:lineRule="auto"/>
              <w:contextualSpacing/>
              <w:jc w:val="center"/>
              <w:rPr>
                <w:b/>
                <w:color w:val="auto"/>
                <w:kern w:val="0"/>
                <w:sz w:val="24"/>
              </w:rPr>
            </w:pPr>
            <w:r>
              <w:rPr>
                <w:b/>
                <w:color w:val="auto"/>
                <w:kern w:val="0"/>
                <w:sz w:val="24"/>
              </w:rPr>
              <w:t>表3-</w:t>
            </w:r>
            <w:r>
              <w:rPr>
                <w:rFonts w:hint="eastAsia"/>
                <w:b/>
                <w:color w:val="auto"/>
                <w:kern w:val="0"/>
                <w:sz w:val="24"/>
              </w:rPr>
              <w:t>1</w:t>
            </w:r>
            <w:r>
              <w:rPr>
                <w:b/>
                <w:color w:val="auto"/>
                <w:kern w:val="0"/>
                <w:sz w:val="24"/>
              </w:rPr>
              <w:t>环境噪声监测结果     单位：dB(A)</w:t>
            </w:r>
          </w:p>
          <w:tbl>
            <w:tblPr>
              <w:tblStyle w:val="1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2158"/>
              <w:gridCol w:w="949"/>
              <w:gridCol w:w="1150"/>
              <w:gridCol w:w="1150"/>
              <w:gridCol w:w="115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88" w:type="pct"/>
                  <w:vMerge w:val="restart"/>
                  <w:noWrap w:val="0"/>
                  <w:vAlign w:val="center"/>
                </w:tcPr>
                <w:p>
                  <w:pPr>
                    <w:jc w:val="center"/>
                    <w:rPr>
                      <w:bCs/>
                      <w:color w:val="auto"/>
                      <w:szCs w:val="21"/>
                    </w:rPr>
                  </w:pPr>
                  <w:r>
                    <w:rPr>
                      <w:bCs/>
                      <w:color w:val="auto"/>
                      <w:szCs w:val="21"/>
                    </w:rPr>
                    <w:t>监测日期</w:t>
                  </w:r>
                </w:p>
              </w:tc>
              <w:tc>
                <w:tcPr>
                  <w:tcW w:w="1353" w:type="pct"/>
                  <w:vMerge w:val="restart"/>
                  <w:noWrap w:val="0"/>
                  <w:vAlign w:val="center"/>
                </w:tcPr>
                <w:p>
                  <w:pPr>
                    <w:jc w:val="center"/>
                    <w:rPr>
                      <w:bCs/>
                      <w:color w:val="auto"/>
                      <w:szCs w:val="21"/>
                    </w:rPr>
                  </w:pPr>
                  <w:r>
                    <w:rPr>
                      <w:bCs/>
                      <w:color w:val="auto"/>
                      <w:szCs w:val="21"/>
                    </w:rPr>
                    <w:t>监测地点</w:t>
                  </w:r>
                </w:p>
              </w:tc>
              <w:tc>
                <w:tcPr>
                  <w:tcW w:w="1316" w:type="pct"/>
                  <w:gridSpan w:val="2"/>
                  <w:noWrap w:val="0"/>
                  <w:vAlign w:val="center"/>
                </w:tcPr>
                <w:p>
                  <w:pPr>
                    <w:widowControl/>
                    <w:jc w:val="center"/>
                    <w:rPr>
                      <w:bCs/>
                      <w:color w:val="auto"/>
                      <w:szCs w:val="21"/>
                    </w:rPr>
                  </w:pPr>
                  <w:r>
                    <w:rPr>
                      <w:bCs/>
                      <w:color w:val="auto"/>
                      <w:szCs w:val="21"/>
                    </w:rPr>
                    <w:t>昼L</w:t>
                  </w:r>
                  <w:r>
                    <w:rPr>
                      <w:bCs/>
                      <w:color w:val="auto"/>
                      <w:szCs w:val="21"/>
                      <w:vertAlign w:val="subscript"/>
                    </w:rPr>
                    <w:t>eq</w:t>
                  </w:r>
                </w:p>
              </w:tc>
              <w:tc>
                <w:tcPr>
                  <w:tcW w:w="1443" w:type="pct"/>
                  <w:gridSpan w:val="2"/>
                  <w:noWrap w:val="0"/>
                  <w:vAlign w:val="center"/>
                </w:tcPr>
                <w:p>
                  <w:pPr>
                    <w:jc w:val="center"/>
                    <w:rPr>
                      <w:bCs/>
                      <w:color w:val="auto"/>
                      <w:szCs w:val="21"/>
                    </w:rPr>
                  </w:pPr>
                  <w:r>
                    <w:rPr>
                      <w:bCs/>
                      <w:color w:val="auto"/>
                      <w:szCs w:val="21"/>
                    </w:rPr>
                    <w:t>夜L</w:t>
                  </w:r>
                  <w:r>
                    <w:rPr>
                      <w:bCs/>
                      <w:color w:val="auto"/>
                      <w:szCs w:val="21"/>
                      <w:vertAlign w:val="subscript"/>
                    </w:rPr>
                    <w:t>eq</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88" w:type="pct"/>
                  <w:vMerge w:val="continue"/>
                  <w:noWrap w:val="0"/>
                  <w:vAlign w:val="center"/>
                </w:tcPr>
                <w:p>
                  <w:pPr>
                    <w:jc w:val="center"/>
                    <w:rPr>
                      <w:bCs/>
                      <w:color w:val="auto"/>
                      <w:szCs w:val="21"/>
                    </w:rPr>
                  </w:pPr>
                </w:p>
              </w:tc>
              <w:tc>
                <w:tcPr>
                  <w:tcW w:w="1353" w:type="pct"/>
                  <w:vMerge w:val="continue"/>
                  <w:noWrap w:val="0"/>
                  <w:vAlign w:val="center"/>
                </w:tcPr>
                <w:p>
                  <w:pPr>
                    <w:ind w:firstLine="625" w:firstLineChars="298"/>
                    <w:jc w:val="center"/>
                    <w:rPr>
                      <w:bCs/>
                      <w:color w:val="auto"/>
                      <w:szCs w:val="21"/>
                    </w:rPr>
                  </w:pPr>
                </w:p>
              </w:tc>
              <w:tc>
                <w:tcPr>
                  <w:tcW w:w="595" w:type="pct"/>
                  <w:noWrap w:val="0"/>
                  <w:vAlign w:val="center"/>
                </w:tcPr>
                <w:p>
                  <w:pPr>
                    <w:widowControl/>
                    <w:jc w:val="center"/>
                    <w:rPr>
                      <w:bCs/>
                      <w:color w:val="auto"/>
                      <w:szCs w:val="21"/>
                    </w:rPr>
                  </w:pPr>
                  <w:r>
                    <w:rPr>
                      <w:bCs/>
                      <w:color w:val="auto"/>
                      <w:szCs w:val="21"/>
                    </w:rPr>
                    <w:t>时间</w:t>
                  </w:r>
                </w:p>
              </w:tc>
              <w:tc>
                <w:tcPr>
                  <w:tcW w:w="721" w:type="pct"/>
                  <w:noWrap w:val="0"/>
                  <w:vAlign w:val="center"/>
                </w:tcPr>
                <w:p>
                  <w:pPr>
                    <w:widowControl/>
                    <w:jc w:val="center"/>
                    <w:rPr>
                      <w:bCs/>
                      <w:color w:val="auto"/>
                      <w:szCs w:val="21"/>
                    </w:rPr>
                  </w:pPr>
                  <w:r>
                    <w:rPr>
                      <w:bCs/>
                      <w:color w:val="auto"/>
                      <w:szCs w:val="21"/>
                    </w:rPr>
                    <w:t>结果</w:t>
                  </w:r>
                </w:p>
              </w:tc>
              <w:tc>
                <w:tcPr>
                  <w:tcW w:w="721" w:type="pct"/>
                  <w:noWrap w:val="0"/>
                  <w:vAlign w:val="center"/>
                </w:tcPr>
                <w:p>
                  <w:pPr>
                    <w:widowControl/>
                    <w:jc w:val="center"/>
                    <w:rPr>
                      <w:bCs/>
                      <w:color w:val="auto"/>
                      <w:szCs w:val="21"/>
                    </w:rPr>
                  </w:pPr>
                  <w:r>
                    <w:rPr>
                      <w:bCs/>
                      <w:color w:val="auto"/>
                      <w:szCs w:val="21"/>
                    </w:rPr>
                    <w:t>时间</w:t>
                  </w:r>
                </w:p>
              </w:tc>
              <w:tc>
                <w:tcPr>
                  <w:tcW w:w="722" w:type="pct"/>
                  <w:noWrap w:val="0"/>
                  <w:vAlign w:val="center"/>
                </w:tcPr>
                <w:p>
                  <w:pPr>
                    <w:widowControl/>
                    <w:jc w:val="center"/>
                    <w:rPr>
                      <w:bCs/>
                      <w:color w:val="auto"/>
                      <w:szCs w:val="21"/>
                    </w:rPr>
                  </w:pPr>
                  <w:r>
                    <w:rPr>
                      <w:bCs/>
                      <w:color w:val="auto"/>
                      <w:szCs w:val="21"/>
                    </w:rPr>
                    <w:t>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888" w:type="pct"/>
                  <w:vMerge w:val="restart"/>
                  <w:noWrap w:val="0"/>
                  <w:vAlign w:val="center"/>
                </w:tcPr>
                <w:p>
                  <w:pPr>
                    <w:spacing w:line="240" w:lineRule="exact"/>
                    <w:jc w:val="center"/>
                    <w:rPr>
                      <w:color w:val="auto"/>
                      <w:szCs w:val="21"/>
                    </w:rPr>
                  </w:pPr>
                  <w:r>
                    <w:rPr>
                      <w:color w:val="auto"/>
                      <w:szCs w:val="21"/>
                    </w:rPr>
                    <w:t>202</w:t>
                  </w:r>
                  <w:r>
                    <w:rPr>
                      <w:rFonts w:hint="eastAsia"/>
                      <w:color w:val="auto"/>
                      <w:szCs w:val="21"/>
                    </w:rPr>
                    <w:t>4</w:t>
                  </w:r>
                  <w:r>
                    <w:rPr>
                      <w:color w:val="auto"/>
                      <w:szCs w:val="21"/>
                    </w:rPr>
                    <w:t>.0</w:t>
                  </w:r>
                  <w:r>
                    <w:rPr>
                      <w:rFonts w:hint="eastAsia"/>
                      <w:color w:val="auto"/>
                      <w:szCs w:val="21"/>
                    </w:rPr>
                    <w:t>3</w:t>
                  </w:r>
                  <w:r>
                    <w:rPr>
                      <w:color w:val="auto"/>
                      <w:szCs w:val="21"/>
                    </w:rPr>
                    <w:t>.</w:t>
                  </w:r>
                  <w:r>
                    <w:rPr>
                      <w:rFonts w:hint="eastAsia"/>
                      <w:color w:val="auto"/>
                      <w:szCs w:val="21"/>
                    </w:rPr>
                    <w:t>02</w:t>
                  </w:r>
                </w:p>
              </w:tc>
              <w:tc>
                <w:tcPr>
                  <w:tcW w:w="1353" w:type="pct"/>
                  <w:noWrap w:val="0"/>
                  <w:vAlign w:val="center"/>
                </w:tcPr>
                <w:p>
                  <w:pPr>
                    <w:spacing w:line="240" w:lineRule="atLeast"/>
                    <w:jc w:val="center"/>
                    <w:rPr>
                      <w:color w:val="auto"/>
                    </w:rPr>
                  </w:pPr>
                  <w:r>
                    <w:rPr>
                      <w:rFonts w:hint="eastAsia"/>
                      <w:color w:val="auto"/>
                    </w:rPr>
                    <w:t>△</w:t>
                  </w:r>
                  <w:r>
                    <w:rPr>
                      <w:rFonts w:hint="eastAsia" w:hAnsi="宋体"/>
                      <w:color w:val="auto"/>
                    </w:rPr>
                    <w:t>1#南侧居民</w:t>
                  </w:r>
                </w:p>
              </w:tc>
              <w:tc>
                <w:tcPr>
                  <w:tcW w:w="595" w:type="pct"/>
                  <w:noWrap w:val="0"/>
                  <w:vAlign w:val="center"/>
                </w:tcPr>
                <w:p>
                  <w:pPr>
                    <w:pStyle w:val="11"/>
                    <w:spacing w:after="0" w:line="240" w:lineRule="exact"/>
                    <w:jc w:val="center"/>
                    <w:rPr>
                      <w:color w:val="auto"/>
                    </w:rPr>
                  </w:pPr>
                  <w:r>
                    <w:rPr>
                      <w:rFonts w:hint="eastAsia"/>
                      <w:color w:val="auto"/>
                    </w:rPr>
                    <w:t>08</w:t>
                  </w:r>
                  <w:r>
                    <w:rPr>
                      <w:color w:val="auto"/>
                    </w:rPr>
                    <w:t>:</w:t>
                  </w:r>
                  <w:r>
                    <w:rPr>
                      <w:rFonts w:hint="eastAsia"/>
                      <w:color w:val="auto"/>
                    </w:rPr>
                    <w:t>00</w:t>
                  </w:r>
                </w:p>
              </w:tc>
              <w:tc>
                <w:tcPr>
                  <w:tcW w:w="721" w:type="pct"/>
                  <w:noWrap w:val="0"/>
                  <w:vAlign w:val="center"/>
                </w:tcPr>
                <w:p>
                  <w:pPr>
                    <w:snapToGrid w:val="0"/>
                    <w:jc w:val="center"/>
                    <w:rPr>
                      <w:color w:val="auto"/>
                      <w:kern w:val="0"/>
                    </w:rPr>
                  </w:pPr>
                  <w:r>
                    <w:rPr>
                      <w:rFonts w:hint="eastAsia"/>
                      <w:color w:val="auto"/>
                      <w:kern w:val="0"/>
                    </w:rPr>
                    <w:t>51</w:t>
                  </w:r>
                </w:p>
              </w:tc>
              <w:tc>
                <w:tcPr>
                  <w:tcW w:w="721" w:type="pct"/>
                  <w:noWrap w:val="0"/>
                  <w:vAlign w:val="center"/>
                </w:tcPr>
                <w:p>
                  <w:pPr>
                    <w:pStyle w:val="11"/>
                    <w:spacing w:after="0" w:line="240" w:lineRule="exact"/>
                    <w:jc w:val="center"/>
                    <w:rPr>
                      <w:color w:val="auto"/>
                    </w:rPr>
                  </w:pPr>
                  <w:r>
                    <w:rPr>
                      <w:rFonts w:hint="eastAsia"/>
                      <w:color w:val="auto"/>
                    </w:rPr>
                    <w:t>22</w:t>
                  </w:r>
                  <w:r>
                    <w:rPr>
                      <w:color w:val="auto"/>
                    </w:rPr>
                    <w:t>:</w:t>
                  </w:r>
                  <w:r>
                    <w:rPr>
                      <w:rFonts w:hint="eastAsia"/>
                      <w:color w:val="auto"/>
                    </w:rPr>
                    <w:t>00</w:t>
                  </w:r>
                </w:p>
              </w:tc>
              <w:tc>
                <w:tcPr>
                  <w:tcW w:w="722" w:type="pct"/>
                  <w:noWrap w:val="0"/>
                  <w:vAlign w:val="center"/>
                </w:tcPr>
                <w:p>
                  <w:pPr>
                    <w:snapToGrid w:val="0"/>
                    <w:jc w:val="center"/>
                    <w:rPr>
                      <w:color w:val="auto"/>
                      <w:kern w:val="0"/>
                    </w:rPr>
                  </w:pPr>
                  <w:r>
                    <w:rPr>
                      <w:rFonts w:hint="eastAsia"/>
                      <w:color w:val="auto"/>
                      <w:kern w:val="0"/>
                    </w:rPr>
                    <w:t>41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88" w:type="pct"/>
                  <w:vMerge w:val="continue"/>
                  <w:noWrap w:val="0"/>
                  <w:vAlign w:val="center"/>
                </w:tcPr>
                <w:p>
                  <w:pPr>
                    <w:spacing w:line="240" w:lineRule="exact"/>
                    <w:jc w:val="center"/>
                    <w:rPr>
                      <w:color w:val="auto"/>
                      <w:szCs w:val="21"/>
                    </w:rPr>
                  </w:pPr>
                </w:p>
              </w:tc>
              <w:tc>
                <w:tcPr>
                  <w:tcW w:w="1353" w:type="pct"/>
                  <w:noWrap w:val="0"/>
                  <w:vAlign w:val="center"/>
                </w:tcPr>
                <w:p>
                  <w:pPr>
                    <w:spacing w:line="240" w:lineRule="atLeast"/>
                    <w:jc w:val="center"/>
                    <w:rPr>
                      <w:color w:val="auto"/>
                    </w:rPr>
                  </w:pPr>
                  <w:r>
                    <w:rPr>
                      <w:rFonts w:hint="eastAsia"/>
                      <w:color w:val="auto"/>
                    </w:rPr>
                    <w:t>△</w:t>
                  </w:r>
                  <w:r>
                    <w:rPr>
                      <w:rFonts w:hint="eastAsia" w:hAnsi="宋体"/>
                      <w:color w:val="auto"/>
                    </w:rPr>
                    <w:t>2#东侧居民</w:t>
                  </w:r>
                </w:p>
              </w:tc>
              <w:tc>
                <w:tcPr>
                  <w:tcW w:w="595" w:type="pct"/>
                  <w:noWrap w:val="0"/>
                  <w:vAlign w:val="center"/>
                </w:tcPr>
                <w:p>
                  <w:pPr>
                    <w:pStyle w:val="11"/>
                    <w:spacing w:after="0" w:line="240" w:lineRule="exact"/>
                    <w:jc w:val="center"/>
                    <w:rPr>
                      <w:color w:val="auto"/>
                    </w:rPr>
                  </w:pPr>
                  <w:r>
                    <w:rPr>
                      <w:rFonts w:hint="eastAsia"/>
                      <w:color w:val="auto"/>
                    </w:rPr>
                    <w:t>08</w:t>
                  </w:r>
                  <w:r>
                    <w:rPr>
                      <w:color w:val="auto"/>
                    </w:rPr>
                    <w:t>:</w:t>
                  </w:r>
                  <w:r>
                    <w:rPr>
                      <w:rFonts w:hint="eastAsia"/>
                      <w:color w:val="auto"/>
                    </w:rPr>
                    <w:t>05</w:t>
                  </w:r>
                </w:p>
              </w:tc>
              <w:tc>
                <w:tcPr>
                  <w:tcW w:w="721" w:type="pct"/>
                  <w:noWrap w:val="0"/>
                  <w:vAlign w:val="center"/>
                </w:tcPr>
                <w:p>
                  <w:pPr>
                    <w:snapToGrid w:val="0"/>
                    <w:jc w:val="center"/>
                    <w:rPr>
                      <w:color w:val="auto"/>
                      <w:kern w:val="0"/>
                    </w:rPr>
                  </w:pPr>
                  <w:r>
                    <w:rPr>
                      <w:rFonts w:hint="eastAsia"/>
                      <w:color w:val="auto"/>
                      <w:kern w:val="0"/>
                    </w:rPr>
                    <w:t>52</w:t>
                  </w:r>
                </w:p>
              </w:tc>
              <w:tc>
                <w:tcPr>
                  <w:tcW w:w="721" w:type="pct"/>
                  <w:noWrap w:val="0"/>
                  <w:vAlign w:val="center"/>
                </w:tcPr>
                <w:p>
                  <w:pPr>
                    <w:pStyle w:val="11"/>
                    <w:spacing w:after="0" w:line="240" w:lineRule="exact"/>
                    <w:jc w:val="center"/>
                    <w:rPr>
                      <w:color w:val="auto"/>
                    </w:rPr>
                  </w:pPr>
                  <w:r>
                    <w:rPr>
                      <w:rFonts w:hint="eastAsia"/>
                      <w:color w:val="auto"/>
                    </w:rPr>
                    <w:t>22</w:t>
                  </w:r>
                  <w:r>
                    <w:rPr>
                      <w:color w:val="auto"/>
                    </w:rPr>
                    <w:t>:</w:t>
                  </w:r>
                  <w:r>
                    <w:rPr>
                      <w:rFonts w:hint="eastAsia"/>
                      <w:color w:val="auto"/>
                    </w:rPr>
                    <w:t>05</w:t>
                  </w:r>
                </w:p>
              </w:tc>
              <w:tc>
                <w:tcPr>
                  <w:tcW w:w="722" w:type="pct"/>
                  <w:noWrap w:val="0"/>
                  <w:vAlign w:val="center"/>
                </w:tcPr>
                <w:p>
                  <w:pPr>
                    <w:snapToGrid w:val="0"/>
                    <w:jc w:val="center"/>
                    <w:rPr>
                      <w:color w:val="auto"/>
                      <w:kern w:val="0"/>
                    </w:rPr>
                  </w:pPr>
                  <w:r>
                    <w:rPr>
                      <w:rFonts w:hint="eastAsia"/>
                      <w:color w:val="auto"/>
                      <w:kern w:val="0"/>
                    </w:rPr>
                    <w:t>41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88" w:type="pct"/>
                  <w:vMerge w:val="continue"/>
                  <w:noWrap w:val="0"/>
                  <w:vAlign w:val="center"/>
                </w:tcPr>
                <w:p>
                  <w:pPr>
                    <w:spacing w:line="240" w:lineRule="exact"/>
                    <w:jc w:val="center"/>
                    <w:rPr>
                      <w:color w:val="auto"/>
                      <w:szCs w:val="21"/>
                    </w:rPr>
                  </w:pPr>
                </w:p>
              </w:tc>
              <w:tc>
                <w:tcPr>
                  <w:tcW w:w="1353" w:type="pct"/>
                  <w:noWrap w:val="0"/>
                  <w:vAlign w:val="center"/>
                </w:tcPr>
                <w:p>
                  <w:pPr>
                    <w:spacing w:line="240" w:lineRule="atLeast"/>
                    <w:jc w:val="center"/>
                    <w:rPr>
                      <w:color w:val="auto"/>
                    </w:rPr>
                  </w:pPr>
                  <w:r>
                    <w:rPr>
                      <w:rFonts w:hint="eastAsia"/>
                      <w:color w:val="auto"/>
                    </w:rPr>
                    <w:t>△</w:t>
                  </w:r>
                  <w:r>
                    <w:rPr>
                      <w:rFonts w:hint="eastAsia" w:hAnsi="宋体"/>
                      <w:color w:val="auto"/>
                    </w:rPr>
                    <w:t>3#东南侧居民</w:t>
                  </w:r>
                </w:p>
              </w:tc>
              <w:tc>
                <w:tcPr>
                  <w:tcW w:w="595" w:type="pct"/>
                  <w:noWrap w:val="0"/>
                  <w:vAlign w:val="center"/>
                </w:tcPr>
                <w:p>
                  <w:pPr>
                    <w:pStyle w:val="11"/>
                    <w:spacing w:after="0" w:line="240" w:lineRule="exact"/>
                    <w:jc w:val="center"/>
                    <w:rPr>
                      <w:color w:val="auto"/>
                    </w:rPr>
                  </w:pPr>
                  <w:r>
                    <w:rPr>
                      <w:rFonts w:hint="eastAsia"/>
                      <w:color w:val="auto"/>
                    </w:rPr>
                    <w:t>08</w:t>
                  </w:r>
                  <w:r>
                    <w:rPr>
                      <w:color w:val="auto"/>
                    </w:rPr>
                    <w:t>:</w:t>
                  </w:r>
                  <w:r>
                    <w:rPr>
                      <w:rFonts w:hint="eastAsia"/>
                      <w:color w:val="auto"/>
                    </w:rPr>
                    <w:t>10</w:t>
                  </w:r>
                </w:p>
              </w:tc>
              <w:tc>
                <w:tcPr>
                  <w:tcW w:w="721" w:type="pct"/>
                  <w:noWrap w:val="0"/>
                  <w:vAlign w:val="center"/>
                </w:tcPr>
                <w:p>
                  <w:pPr>
                    <w:snapToGrid w:val="0"/>
                    <w:jc w:val="center"/>
                    <w:rPr>
                      <w:color w:val="auto"/>
                      <w:kern w:val="0"/>
                    </w:rPr>
                  </w:pPr>
                  <w:r>
                    <w:rPr>
                      <w:rFonts w:hint="eastAsia"/>
                      <w:color w:val="auto"/>
                      <w:kern w:val="0"/>
                    </w:rPr>
                    <w:t>51</w:t>
                  </w:r>
                </w:p>
              </w:tc>
              <w:tc>
                <w:tcPr>
                  <w:tcW w:w="721" w:type="pct"/>
                  <w:noWrap w:val="0"/>
                  <w:vAlign w:val="center"/>
                </w:tcPr>
                <w:p>
                  <w:pPr>
                    <w:pStyle w:val="11"/>
                    <w:spacing w:after="0" w:line="240" w:lineRule="exact"/>
                    <w:jc w:val="center"/>
                    <w:rPr>
                      <w:color w:val="auto"/>
                    </w:rPr>
                  </w:pPr>
                  <w:r>
                    <w:rPr>
                      <w:rFonts w:hint="eastAsia"/>
                      <w:color w:val="auto"/>
                    </w:rPr>
                    <w:t>22</w:t>
                  </w:r>
                  <w:r>
                    <w:rPr>
                      <w:color w:val="auto"/>
                    </w:rPr>
                    <w:t>:</w:t>
                  </w:r>
                  <w:r>
                    <w:rPr>
                      <w:rFonts w:hint="eastAsia"/>
                      <w:color w:val="auto"/>
                    </w:rPr>
                    <w:t>10</w:t>
                  </w:r>
                </w:p>
              </w:tc>
              <w:tc>
                <w:tcPr>
                  <w:tcW w:w="722" w:type="pct"/>
                  <w:noWrap w:val="0"/>
                  <w:vAlign w:val="center"/>
                </w:tcPr>
                <w:p>
                  <w:pPr>
                    <w:snapToGrid w:val="0"/>
                    <w:jc w:val="center"/>
                    <w:rPr>
                      <w:color w:val="auto"/>
                      <w:kern w:val="0"/>
                    </w:rPr>
                  </w:pPr>
                  <w:r>
                    <w:rPr>
                      <w:rFonts w:hint="eastAsia"/>
                      <w:color w:val="auto"/>
                      <w:kern w:val="0"/>
                    </w:rPr>
                    <w:t>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41" w:type="pct"/>
                  <w:gridSpan w:val="2"/>
                  <w:shd w:val="clear" w:color="auto" w:fill="auto"/>
                  <w:noWrap w:val="0"/>
                  <w:vAlign w:val="center"/>
                </w:tcPr>
                <w:p>
                  <w:pPr>
                    <w:spacing w:line="240" w:lineRule="atLeast"/>
                    <w:jc w:val="center"/>
                    <w:rPr>
                      <w:b/>
                      <w:color w:val="auto"/>
                      <w:szCs w:val="21"/>
                    </w:rPr>
                  </w:pPr>
                  <w:r>
                    <w:rPr>
                      <w:b/>
                      <w:color w:val="auto"/>
                      <w:szCs w:val="21"/>
                    </w:rPr>
                    <w:t>标准限值</w:t>
                  </w:r>
                </w:p>
              </w:tc>
              <w:tc>
                <w:tcPr>
                  <w:tcW w:w="1316" w:type="pct"/>
                  <w:gridSpan w:val="2"/>
                  <w:shd w:val="clear" w:color="auto" w:fill="FFFFFF"/>
                  <w:noWrap w:val="0"/>
                  <w:vAlign w:val="center"/>
                </w:tcPr>
                <w:p>
                  <w:pPr>
                    <w:widowControl/>
                    <w:jc w:val="center"/>
                    <w:rPr>
                      <w:color w:val="auto"/>
                      <w:kern w:val="0"/>
                      <w:szCs w:val="21"/>
                    </w:rPr>
                  </w:pPr>
                  <w:r>
                    <w:rPr>
                      <w:rFonts w:hint="eastAsia"/>
                      <w:color w:val="auto"/>
                      <w:kern w:val="0"/>
                      <w:szCs w:val="21"/>
                    </w:rPr>
                    <w:t>60</w:t>
                  </w:r>
                </w:p>
              </w:tc>
              <w:tc>
                <w:tcPr>
                  <w:tcW w:w="1443" w:type="pct"/>
                  <w:gridSpan w:val="2"/>
                  <w:noWrap w:val="0"/>
                  <w:vAlign w:val="center"/>
                </w:tcPr>
                <w:p>
                  <w:pPr>
                    <w:spacing w:line="240" w:lineRule="exact"/>
                    <w:jc w:val="center"/>
                    <w:rPr>
                      <w:color w:val="auto"/>
                      <w:szCs w:val="22"/>
                    </w:rPr>
                  </w:pPr>
                  <w:r>
                    <w:rPr>
                      <w:rFonts w:hint="eastAsia"/>
                      <w:color w:val="auto"/>
                      <w:szCs w:val="22"/>
                    </w:rPr>
                    <w:t>50</w:t>
                  </w:r>
                </w:p>
              </w:tc>
            </w:tr>
          </w:tbl>
          <w:p>
            <w:pPr>
              <w:widowControl/>
              <w:spacing w:line="360" w:lineRule="auto"/>
              <w:ind w:firstLine="482" w:firstLineChars="200"/>
              <w:contextualSpacing/>
              <w:rPr>
                <w:b/>
                <w:color w:val="auto"/>
                <w:sz w:val="24"/>
              </w:rPr>
            </w:pPr>
            <w:r>
              <w:rPr>
                <w:b/>
                <w:color w:val="auto"/>
                <w:sz w:val="24"/>
              </w:rPr>
              <w:t>4、生态环境</w:t>
            </w:r>
          </w:p>
          <w:p>
            <w:pPr>
              <w:widowControl/>
              <w:spacing w:line="360" w:lineRule="auto"/>
              <w:ind w:firstLine="480" w:firstLineChars="200"/>
              <w:contextualSpacing/>
              <w:rPr>
                <w:color w:val="auto"/>
                <w:sz w:val="24"/>
              </w:rPr>
            </w:pPr>
            <w:r>
              <w:rPr>
                <w:color w:val="auto"/>
                <w:sz w:val="24"/>
              </w:rPr>
              <w:t>本项目建设地点位于</w:t>
            </w:r>
            <w:r>
              <w:rPr>
                <w:bCs/>
                <w:color w:val="auto"/>
                <w:sz w:val="24"/>
              </w:rPr>
              <w:t>绥化市北林区东津镇原种子站西</w:t>
            </w:r>
            <w:r>
              <w:rPr>
                <w:color w:val="auto"/>
                <w:sz w:val="24"/>
              </w:rPr>
              <w:t>，用地范围内无生态环境保护目标，因此不进行生态现状调查。</w:t>
            </w:r>
          </w:p>
          <w:p>
            <w:pPr>
              <w:widowControl/>
              <w:spacing w:line="360" w:lineRule="auto"/>
              <w:ind w:firstLine="482" w:firstLineChars="200"/>
              <w:contextualSpacing/>
              <w:rPr>
                <w:b/>
                <w:color w:val="auto"/>
                <w:sz w:val="24"/>
              </w:rPr>
            </w:pPr>
            <w:r>
              <w:rPr>
                <w:b/>
                <w:color w:val="auto"/>
                <w:sz w:val="24"/>
              </w:rPr>
              <w:t>5、地下水、土壤环境</w:t>
            </w:r>
          </w:p>
          <w:p>
            <w:pPr>
              <w:widowControl/>
              <w:spacing w:line="360" w:lineRule="auto"/>
              <w:ind w:firstLine="480" w:firstLineChars="200"/>
              <w:contextualSpacing/>
              <w:rPr>
                <w:color w:val="auto"/>
                <w:sz w:val="24"/>
              </w:rPr>
            </w:pPr>
            <w:r>
              <w:rPr>
                <w:color w:val="auto"/>
                <w:sz w:val="24"/>
              </w:rPr>
              <w:t>本项目属于</w:t>
            </w:r>
            <w:r>
              <w:rPr>
                <w:rFonts w:hint="eastAsia"/>
                <w:bCs/>
                <w:color w:val="auto"/>
                <w:kern w:val="0"/>
                <w:sz w:val="24"/>
              </w:rPr>
              <w:t>热力生产和供应项目</w:t>
            </w:r>
            <w:r>
              <w:rPr>
                <w:color w:val="auto"/>
                <w:sz w:val="24"/>
              </w:rPr>
              <w:t>，</w:t>
            </w:r>
            <w:r>
              <w:rPr>
                <w:rFonts w:hint="eastAsia"/>
                <w:color w:val="auto"/>
                <w:sz w:val="24"/>
              </w:rPr>
              <w:t>不涉及土壤污染物，</w:t>
            </w:r>
            <w:r>
              <w:rPr>
                <w:color w:val="auto"/>
                <w:sz w:val="24"/>
              </w:rPr>
              <w:t>不存在地下水污染途径，因此，不进行土壤、地下水环境质量现状监测。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noWrap w:val="0"/>
            <w:vAlign w:val="center"/>
          </w:tcPr>
          <w:p>
            <w:pPr>
              <w:adjustRightInd w:val="0"/>
              <w:snapToGrid w:val="0"/>
              <w:jc w:val="center"/>
              <w:rPr>
                <w:color w:val="auto"/>
                <w:kern w:val="0"/>
                <w:sz w:val="24"/>
              </w:rPr>
            </w:pPr>
            <w:r>
              <w:rPr>
                <w:color w:val="auto"/>
                <w:kern w:val="0"/>
                <w:sz w:val="24"/>
              </w:rPr>
              <w:t>环境</w:t>
            </w:r>
          </w:p>
          <w:p>
            <w:pPr>
              <w:adjustRightInd w:val="0"/>
              <w:snapToGrid w:val="0"/>
              <w:jc w:val="center"/>
              <w:rPr>
                <w:color w:val="auto"/>
                <w:kern w:val="0"/>
                <w:sz w:val="24"/>
              </w:rPr>
            </w:pPr>
            <w:r>
              <w:rPr>
                <w:color w:val="auto"/>
                <w:kern w:val="0"/>
                <w:sz w:val="24"/>
              </w:rPr>
              <w:t>保护</w:t>
            </w:r>
          </w:p>
          <w:p>
            <w:pPr>
              <w:adjustRightInd w:val="0"/>
              <w:snapToGrid w:val="0"/>
              <w:jc w:val="center"/>
              <w:rPr>
                <w:color w:val="auto"/>
                <w:kern w:val="0"/>
                <w:szCs w:val="21"/>
              </w:rPr>
            </w:pPr>
            <w:r>
              <w:rPr>
                <w:color w:val="auto"/>
                <w:kern w:val="0"/>
                <w:sz w:val="24"/>
              </w:rPr>
              <w:t>目标</w:t>
            </w:r>
          </w:p>
        </w:tc>
        <w:tc>
          <w:tcPr>
            <w:tcW w:w="8190" w:type="dxa"/>
            <w:noWrap w:val="0"/>
            <w:vAlign w:val="center"/>
          </w:tcPr>
          <w:p>
            <w:pPr>
              <w:spacing w:line="360" w:lineRule="auto"/>
              <w:ind w:firstLine="482" w:firstLineChars="200"/>
              <w:contextualSpacing/>
              <w:rPr>
                <w:b/>
                <w:color w:val="auto"/>
                <w:kern w:val="0"/>
                <w:sz w:val="24"/>
              </w:rPr>
            </w:pPr>
            <w:r>
              <w:rPr>
                <w:b/>
                <w:color w:val="auto"/>
                <w:kern w:val="0"/>
                <w:sz w:val="24"/>
              </w:rPr>
              <w:t>1、大气环境保护目标</w:t>
            </w:r>
          </w:p>
          <w:p>
            <w:pPr>
              <w:spacing w:line="360" w:lineRule="auto"/>
              <w:ind w:firstLine="480" w:firstLineChars="200"/>
              <w:rPr>
                <w:color w:val="auto"/>
                <w:kern w:val="0"/>
                <w:sz w:val="24"/>
              </w:rPr>
            </w:pPr>
            <w:r>
              <w:rPr>
                <w:color w:val="auto"/>
                <w:kern w:val="0"/>
                <w:sz w:val="24"/>
              </w:rPr>
              <w:t>项目大气环境保护目标为农村地区中人群较集中的区域及文化区。具体情况详见下表，环境保护敏感点分布情况详见附图2。</w:t>
            </w:r>
          </w:p>
          <w:p>
            <w:pPr>
              <w:spacing w:line="360" w:lineRule="auto"/>
              <w:contextualSpacing/>
              <w:jc w:val="center"/>
              <w:rPr>
                <w:b/>
                <w:bCs/>
                <w:color w:val="auto"/>
              </w:rPr>
            </w:pPr>
            <w:r>
              <w:rPr>
                <w:b/>
                <w:color w:val="auto"/>
                <w:kern w:val="0"/>
                <w:sz w:val="24"/>
              </w:rPr>
              <w:t>表3-</w:t>
            </w:r>
            <w:r>
              <w:rPr>
                <w:rFonts w:hint="eastAsia"/>
                <w:b/>
                <w:color w:val="auto"/>
                <w:kern w:val="0"/>
                <w:sz w:val="24"/>
              </w:rPr>
              <w:t>2</w:t>
            </w:r>
            <w:r>
              <w:rPr>
                <w:b/>
                <w:color w:val="auto"/>
                <w:kern w:val="0"/>
                <w:sz w:val="24"/>
              </w:rPr>
              <w:t xml:space="preserve"> 项目大气环境敏感保护目标一览表</w:t>
            </w:r>
          </w:p>
          <w:tbl>
            <w:tblPr>
              <w:tblStyle w:val="15"/>
              <w:tblW w:w="467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2993"/>
              <w:gridCol w:w="248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27" w:type="pct"/>
                  <w:noWrap w:val="0"/>
                  <w:vAlign w:val="center"/>
                </w:tcPr>
                <w:p>
                  <w:pPr>
                    <w:widowControl/>
                    <w:jc w:val="center"/>
                    <w:rPr>
                      <w:color w:val="auto"/>
                      <w:kern w:val="0"/>
                      <w:szCs w:val="21"/>
                    </w:rPr>
                  </w:pPr>
                  <w:r>
                    <w:rPr>
                      <w:rFonts w:hint="eastAsia"/>
                      <w:color w:val="auto"/>
                      <w:kern w:val="0"/>
                      <w:szCs w:val="21"/>
                    </w:rPr>
                    <w:t>名称</w:t>
                  </w:r>
                </w:p>
              </w:tc>
              <w:tc>
                <w:tcPr>
                  <w:tcW w:w="2007" w:type="pct"/>
                  <w:noWrap w:val="0"/>
                  <w:vAlign w:val="center"/>
                </w:tcPr>
                <w:p>
                  <w:pPr>
                    <w:widowControl/>
                    <w:jc w:val="center"/>
                    <w:rPr>
                      <w:color w:val="auto"/>
                      <w:kern w:val="0"/>
                      <w:szCs w:val="21"/>
                    </w:rPr>
                  </w:pPr>
                  <w:r>
                    <w:rPr>
                      <w:rFonts w:hint="eastAsia"/>
                      <w:color w:val="auto"/>
                      <w:kern w:val="0"/>
                      <w:szCs w:val="21"/>
                    </w:rPr>
                    <w:t>相对厂址方位</w:t>
                  </w:r>
                </w:p>
              </w:tc>
              <w:tc>
                <w:tcPr>
                  <w:tcW w:w="1666" w:type="pct"/>
                  <w:noWrap w:val="0"/>
                  <w:vAlign w:val="center"/>
                </w:tcPr>
                <w:p>
                  <w:pPr>
                    <w:widowControl/>
                    <w:jc w:val="center"/>
                    <w:rPr>
                      <w:color w:val="auto"/>
                      <w:kern w:val="0"/>
                      <w:szCs w:val="21"/>
                    </w:rPr>
                  </w:pPr>
                  <w:r>
                    <w:rPr>
                      <w:color w:val="auto"/>
                      <w:kern w:val="0"/>
                      <w:szCs w:val="21"/>
                    </w:rPr>
                    <w:t>相对厂界距离/m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1327" w:type="pct"/>
                  <w:vMerge w:val="restart"/>
                  <w:noWrap w:val="0"/>
                  <w:vAlign w:val="center"/>
                </w:tcPr>
                <w:p>
                  <w:pPr>
                    <w:jc w:val="center"/>
                    <w:rPr>
                      <w:color w:val="auto"/>
                      <w:szCs w:val="21"/>
                    </w:rPr>
                  </w:pPr>
                  <w:r>
                    <w:rPr>
                      <w:rFonts w:hint="eastAsia"/>
                      <w:bCs/>
                      <w:color w:val="auto"/>
                      <w:szCs w:val="21"/>
                    </w:rPr>
                    <w:t>东津</w:t>
                  </w:r>
                  <w:r>
                    <w:rPr>
                      <w:bCs/>
                      <w:color w:val="auto"/>
                      <w:szCs w:val="21"/>
                    </w:rPr>
                    <w:t>镇</w:t>
                  </w:r>
                </w:p>
              </w:tc>
              <w:tc>
                <w:tcPr>
                  <w:tcW w:w="2007" w:type="pct"/>
                  <w:noWrap w:val="0"/>
                  <w:vAlign w:val="center"/>
                </w:tcPr>
                <w:p>
                  <w:pPr>
                    <w:contextualSpacing/>
                    <w:jc w:val="center"/>
                    <w:rPr>
                      <w:color w:val="auto"/>
                      <w:szCs w:val="21"/>
                    </w:rPr>
                  </w:pPr>
                  <w:r>
                    <w:rPr>
                      <w:rFonts w:hint="eastAsia"/>
                      <w:color w:val="auto"/>
                      <w:szCs w:val="21"/>
                    </w:rPr>
                    <w:t>E</w:t>
                  </w:r>
                </w:p>
              </w:tc>
              <w:tc>
                <w:tcPr>
                  <w:tcW w:w="1666" w:type="pct"/>
                  <w:noWrap w:val="0"/>
                  <w:vAlign w:val="center"/>
                </w:tcPr>
                <w:p>
                  <w:pPr>
                    <w:contextualSpacing/>
                    <w:jc w:val="center"/>
                    <w:rPr>
                      <w:color w:val="auto"/>
                      <w:szCs w:val="21"/>
                    </w:rPr>
                  </w:pPr>
                  <w:r>
                    <w:rPr>
                      <w:rFonts w:hint="eastAsia"/>
                      <w:color w:val="auto"/>
                      <w:szCs w:val="21"/>
                    </w:rPr>
                    <w:t>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1327" w:type="pct"/>
                  <w:vMerge w:val="continue"/>
                  <w:noWrap w:val="0"/>
                  <w:vAlign w:val="center"/>
                </w:tcPr>
                <w:p>
                  <w:pPr>
                    <w:jc w:val="center"/>
                    <w:rPr>
                      <w:bCs/>
                      <w:color w:val="auto"/>
                      <w:szCs w:val="21"/>
                    </w:rPr>
                  </w:pPr>
                </w:p>
              </w:tc>
              <w:tc>
                <w:tcPr>
                  <w:tcW w:w="2007" w:type="pct"/>
                  <w:noWrap w:val="0"/>
                  <w:vAlign w:val="center"/>
                </w:tcPr>
                <w:p>
                  <w:pPr>
                    <w:contextualSpacing/>
                    <w:jc w:val="center"/>
                    <w:rPr>
                      <w:rFonts w:hint="eastAsia"/>
                      <w:color w:val="auto"/>
                      <w:szCs w:val="21"/>
                    </w:rPr>
                  </w:pPr>
                  <w:r>
                    <w:rPr>
                      <w:rFonts w:hint="eastAsia"/>
                      <w:color w:val="auto"/>
                      <w:szCs w:val="21"/>
                    </w:rPr>
                    <w:t>S</w:t>
                  </w:r>
                </w:p>
              </w:tc>
              <w:tc>
                <w:tcPr>
                  <w:tcW w:w="1666" w:type="pct"/>
                  <w:noWrap w:val="0"/>
                  <w:vAlign w:val="center"/>
                </w:tcPr>
                <w:p>
                  <w:pPr>
                    <w:contextualSpacing/>
                    <w:jc w:val="center"/>
                    <w:rPr>
                      <w:color w:val="auto"/>
                      <w:szCs w:val="21"/>
                    </w:rPr>
                  </w:pPr>
                  <w:r>
                    <w:rPr>
                      <w:rFonts w:hint="eastAsia"/>
                      <w:color w:val="auto"/>
                      <w:szCs w:val="21"/>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1327" w:type="pct"/>
                  <w:vMerge w:val="continue"/>
                  <w:noWrap w:val="0"/>
                  <w:vAlign w:val="center"/>
                </w:tcPr>
                <w:p>
                  <w:pPr>
                    <w:jc w:val="center"/>
                    <w:rPr>
                      <w:bCs/>
                      <w:color w:val="auto"/>
                      <w:szCs w:val="21"/>
                    </w:rPr>
                  </w:pPr>
                </w:p>
              </w:tc>
              <w:tc>
                <w:tcPr>
                  <w:tcW w:w="2007" w:type="pct"/>
                  <w:noWrap w:val="0"/>
                  <w:vAlign w:val="center"/>
                </w:tcPr>
                <w:p>
                  <w:pPr>
                    <w:contextualSpacing/>
                    <w:jc w:val="center"/>
                    <w:rPr>
                      <w:rFonts w:hint="eastAsia"/>
                      <w:color w:val="auto"/>
                      <w:szCs w:val="21"/>
                    </w:rPr>
                  </w:pPr>
                  <w:r>
                    <w:rPr>
                      <w:rFonts w:hint="eastAsia"/>
                      <w:color w:val="auto"/>
                      <w:szCs w:val="21"/>
                    </w:rPr>
                    <w:t>SE</w:t>
                  </w:r>
                </w:p>
              </w:tc>
              <w:tc>
                <w:tcPr>
                  <w:tcW w:w="1666" w:type="pct"/>
                  <w:noWrap w:val="0"/>
                  <w:vAlign w:val="center"/>
                </w:tcPr>
                <w:p>
                  <w:pPr>
                    <w:contextualSpacing/>
                    <w:jc w:val="center"/>
                    <w:rPr>
                      <w:rFonts w:hint="eastAsia"/>
                      <w:color w:val="auto"/>
                      <w:szCs w:val="21"/>
                    </w:rPr>
                  </w:pPr>
                  <w:r>
                    <w:rPr>
                      <w:rFonts w:hint="eastAsia"/>
                      <w:color w:val="auto"/>
                      <w:szCs w:val="21"/>
                    </w:rPr>
                    <w:t>29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1327" w:type="pct"/>
                  <w:noWrap w:val="0"/>
                  <w:vAlign w:val="center"/>
                </w:tcPr>
                <w:p>
                  <w:pPr>
                    <w:jc w:val="center"/>
                    <w:rPr>
                      <w:bCs/>
                      <w:color w:val="auto"/>
                      <w:szCs w:val="21"/>
                    </w:rPr>
                  </w:pPr>
                  <w:r>
                    <w:rPr>
                      <w:bCs/>
                      <w:color w:val="auto"/>
                      <w:szCs w:val="21"/>
                    </w:rPr>
                    <w:t>东津学校</w:t>
                  </w:r>
                </w:p>
              </w:tc>
              <w:tc>
                <w:tcPr>
                  <w:tcW w:w="2007" w:type="pct"/>
                  <w:noWrap w:val="0"/>
                  <w:vAlign w:val="center"/>
                </w:tcPr>
                <w:p>
                  <w:pPr>
                    <w:contextualSpacing/>
                    <w:jc w:val="center"/>
                    <w:rPr>
                      <w:rFonts w:hint="eastAsia"/>
                      <w:color w:val="auto"/>
                      <w:szCs w:val="21"/>
                    </w:rPr>
                  </w:pPr>
                  <w:r>
                    <w:rPr>
                      <w:rFonts w:hint="eastAsia"/>
                      <w:color w:val="auto"/>
                      <w:szCs w:val="21"/>
                    </w:rPr>
                    <w:t>SE</w:t>
                  </w:r>
                </w:p>
              </w:tc>
              <w:tc>
                <w:tcPr>
                  <w:tcW w:w="1666" w:type="pct"/>
                  <w:noWrap w:val="0"/>
                  <w:vAlign w:val="center"/>
                </w:tcPr>
                <w:p>
                  <w:pPr>
                    <w:contextualSpacing/>
                    <w:jc w:val="center"/>
                    <w:rPr>
                      <w:rFonts w:hint="eastAsia"/>
                      <w:color w:val="auto"/>
                      <w:szCs w:val="21"/>
                    </w:rPr>
                  </w:pPr>
                  <w:r>
                    <w:rPr>
                      <w:rFonts w:hint="eastAsia"/>
                      <w:color w:val="auto"/>
                      <w:szCs w:val="21"/>
                    </w:rPr>
                    <w:t>141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1327" w:type="pct"/>
                  <w:noWrap w:val="0"/>
                  <w:vAlign w:val="center"/>
                </w:tcPr>
                <w:p>
                  <w:pPr>
                    <w:jc w:val="center"/>
                    <w:rPr>
                      <w:bCs/>
                      <w:color w:val="auto"/>
                      <w:szCs w:val="21"/>
                    </w:rPr>
                  </w:pPr>
                  <w:r>
                    <w:rPr>
                      <w:bCs/>
                      <w:color w:val="auto"/>
                      <w:szCs w:val="21"/>
                    </w:rPr>
                    <w:t>利民新村</w:t>
                  </w:r>
                </w:p>
              </w:tc>
              <w:tc>
                <w:tcPr>
                  <w:tcW w:w="2007" w:type="pct"/>
                  <w:noWrap w:val="0"/>
                  <w:vAlign w:val="center"/>
                </w:tcPr>
                <w:p>
                  <w:pPr>
                    <w:contextualSpacing/>
                    <w:jc w:val="center"/>
                    <w:rPr>
                      <w:rFonts w:hint="eastAsia"/>
                      <w:color w:val="auto"/>
                      <w:szCs w:val="21"/>
                    </w:rPr>
                  </w:pPr>
                  <w:r>
                    <w:rPr>
                      <w:rFonts w:hint="eastAsia"/>
                      <w:color w:val="auto"/>
                      <w:szCs w:val="21"/>
                    </w:rPr>
                    <w:t>SE</w:t>
                  </w:r>
                </w:p>
              </w:tc>
              <w:tc>
                <w:tcPr>
                  <w:tcW w:w="1666" w:type="pct"/>
                  <w:noWrap w:val="0"/>
                  <w:vAlign w:val="center"/>
                </w:tcPr>
                <w:p>
                  <w:pPr>
                    <w:contextualSpacing/>
                    <w:jc w:val="center"/>
                    <w:rPr>
                      <w:rFonts w:hint="eastAsia"/>
                      <w:color w:val="auto"/>
                      <w:szCs w:val="21"/>
                    </w:rPr>
                  </w:pPr>
                  <w:r>
                    <w:rPr>
                      <w:rFonts w:hint="eastAsia"/>
                      <w:color w:val="auto"/>
                      <w:szCs w:val="21"/>
                    </w:rPr>
                    <w:t>181</w:t>
                  </w:r>
                </w:p>
              </w:tc>
            </w:tr>
          </w:tbl>
          <w:p>
            <w:pPr>
              <w:spacing w:line="360" w:lineRule="auto"/>
              <w:ind w:firstLine="482" w:firstLineChars="200"/>
              <w:contextualSpacing/>
              <w:rPr>
                <w:b/>
                <w:color w:val="auto"/>
                <w:kern w:val="0"/>
                <w:sz w:val="24"/>
              </w:rPr>
            </w:pPr>
            <w:r>
              <w:rPr>
                <w:b/>
                <w:color w:val="auto"/>
                <w:kern w:val="0"/>
                <w:sz w:val="24"/>
              </w:rPr>
              <w:t>2、声环境保护目标</w:t>
            </w:r>
          </w:p>
          <w:p>
            <w:pPr>
              <w:adjustRightInd w:val="0"/>
              <w:snapToGrid w:val="0"/>
              <w:spacing w:line="360" w:lineRule="auto"/>
              <w:ind w:firstLine="405" w:firstLineChars="169"/>
              <w:rPr>
                <w:bCs/>
                <w:color w:val="auto"/>
                <w:kern w:val="0"/>
                <w:sz w:val="24"/>
              </w:rPr>
            </w:pPr>
            <w:r>
              <w:rPr>
                <w:bCs/>
                <w:color w:val="auto"/>
                <w:kern w:val="0"/>
                <w:sz w:val="24"/>
              </w:rPr>
              <w:t>本项目</w:t>
            </w:r>
            <w:r>
              <w:rPr>
                <w:rFonts w:hint="eastAsia"/>
                <w:bCs/>
                <w:color w:val="auto"/>
                <w:kern w:val="0"/>
                <w:sz w:val="24"/>
              </w:rPr>
              <w:t>厂界50m范围内</w:t>
            </w:r>
            <w:r>
              <w:rPr>
                <w:bCs/>
                <w:color w:val="auto"/>
                <w:kern w:val="0"/>
                <w:sz w:val="24"/>
              </w:rPr>
              <w:t>声环境保护目标见下表。</w:t>
            </w:r>
          </w:p>
          <w:p>
            <w:pPr>
              <w:spacing w:line="360" w:lineRule="auto"/>
              <w:contextualSpacing/>
              <w:jc w:val="center"/>
              <w:rPr>
                <w:b/>
                <w:color w:val="auto"/>
                <w:kern w:val="0"/>
                <w:sz w:val="24"/>
              </w:rPr>
            </w:pPr>
            <w:r>
              <w:rPr>
                <w:b/>
                <w:color w:val="auto"/>
                <w:kern w:val="0"/>
                <w:sz w:val="24"/>
              </w:rPr>
              <w:t>表3-</w:t>
            </w:r>
            <w:r>
              <w:rPr>
                <w:rFonts w:hint="eastAsia"/>
                <w:b/>
                <w:color w:val="auto"/>
                <w:kern w:val="0"/>
                <w:sz w:val="24"/>
              </w:rPr>
              <w:t>3</w:t>
            </w:r>
            <w:r>
              <w:rPr>
                <w:b/>
                <w:color w:val="auto"/>
                <w:kern w:val="0"/>
                <w:sz w:val="24"/>
              </w:rPr>
              <w:t>项目声环境敏感保护目标一览表</w:t>
            </w:r>
          </w:p>
          <w:tbl>
            <w:tblPr>
              <w:tblStyle w:val="15"/>
              <w:tblW w:w="47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31"/>
              <w:gridCol w:w="2774"/>
              <w:gridCol w:w="1295"/>
              <w:gridCol w:w="18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132" w:type="pct"/>
                  <w:noWrap w:val="0"/>
                  <w:vAlign w:val="center"/>
                </w:tcPr>
                <w:p>
                  <w:pPr>
                    <w:tabs>
                      <w:tab w:val="right" w:pos="2309"/>
                    </w:tabs>
                    <w:adjustRightInd w:val="0"/>
                    <w:snapToGrid w:val="0"/>
                    <w:jc w:val="center"/>
                    <w:rPr>
                      <w:color w:val="auto"/>
                      <w:kern w:val="0"/>
                      <w:szCs w:val="21"/>
                    </w:rPr>
                  </w:pPr>
                  <w:r>
                    <w:rPr>
                      <w:color w:val="auto"/>
                      <w:kern w:val="0"/>
                      <w:szCs w:val="21"/>
                    </w:rPr>
                    <w:t>保护对象</w:t>
                  </w:r>
                </w:p>
              </w:tc>
              <w:tc>
                <w:tcPr>
                  <w:tcW w:w="1814" w:type="pct"/>
                  <w:noWrap w:val="0"/>
                  <w:vAlign w:val="center"/>
                </w:tcPr>
                <w:p>
                  <w:pPr>
                    <w:adjustRightInd w:val="0"/>
                    <w:snapToGrid w:val="0"/>
                    <w:jc w:val="center"/>
                    <w:rPr>
                      <w:color w:val="auto"/>
                      <w:kern w:val="0"/>
                      <w:szCs w:val="21"/>
                    </w:rPr>
                  </w:pPr>
                  <w:r>
                    <w:rPr>
                      <w:color w:val="auto"/>
                      <w:kern w:val="0"/>
                      <w:szCs w:val="21"/>
                    </w:rPr>
                    <w:t>环境功能区</w:t>
                  </w:r>
                </w:p>
              </w:tc>
              <w:tc>
                <w:tcPr>
                  <w:tcW w:w="847" w:type="pct"/>
                  <w:noWrap w:val="0"/>
                  <w:vAlign w:val="center"/>
                </w:tcPr>
                <w:p>
                  <w:pPr>
                    <w:adjustRightInd w:val="0"/>
                    <w:snapToGrid w:val="0"/>
                    <w:jc w:val="center"/>
                    <w:rPr>
                      <w:color w:val="auto"/>
                      <w:kern w:val="0"/>
                      <w:szCs w:val="21"/>
                    </w:rPr>
                  </w:pPr>
                  <w:r>
                    <w:rPr>
                      <w:color w:val="auto"/>
                      <w:kern w:val="0"/>
                      <w:szCs w:val="21"/>
                    </w:rPr>
                    <w:t>相对方位</w:t>
                  </w:r>
                </w:p>
              </w:tc>
              <w:tc>
                <w:tcPr>
                  <w:tcW w:w="1207" w:type="pct"/>
                  <w:noWrap w:val="0"/>
                  <w:vAlign w:val="center"/>
                </w:tcPr>
                <w:p>
                  <w:pPr>
                    <w:adjustRightInd w:val="0"/>
                    <w:snapToGrid w:val="0"/>
                    <w:jc w:val="center"/>
                    <w:rPr>
                      <w:color w:val="auto"/>
                      <w:kern w:val="0"/>
                      <w:szCs w:val="21"/>
                    </w:rPr>
                  </w:pPr>
                  <w:r>
                    <w:rPr>
                      <w:color w:val="auto"/>
                      <w:kern w:val="0"/>
                      <w:szCs w:val="21"/>
                    </w:rPr>
                    <w:t>相对最近距离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32" w:type="pct"/>
                  <w:vMerge w:val="restart"/>
                  <w:noWrap w:val="0"/>
                  <w:vAlign w:val="center"/>
                </w:tcPr>
                <w:p>
                  <w:pPr>
                    <w:tabs>
                      <w:tab w:val="right" w:pos="2309"/>
                    </w:tabs>
                    <w:adjustRightInd w:val="0"/>
                    <w:snapToGrid w:val="0"/>
                    <w:jc w:val="center"/>
                    <w:rPr>
                      <w:color w:val="auto"/>
                      <w:kern w:val="0"/>
                      <w:szCs w:val="21"/>
                    </w:rPr>
                  </w:pPr>
                  <w:r>
                    <w:rPr>
                      <w:rFonts w:hint="eastAsia"/>
                      <w:bCs/>
                      <w:color w:val="auto"/>
                      <w:szCs w:val="21"/>
                    </w:rPr>
                    <w:t>东津</w:t>
                  </w:r>
                  <w:r>
                    <w:rPr>
                      <w:bCs/>
                      <w:color w:val="auto"/>
                      <w:szCs w:val="21"/>
                    </w:rPr>
                    <w:t>镇居民</w:t>
                  </w:r>
                </w:p>
              </w:tc>
              <w:tc>
                <w:tcPr>
                  <w:tcW w:w="1814" w:type="pct"/>
                  <w:vMerge w:val="restart"/>
                  <w:noWrap w:val="0"/>
                  <w:vAlign w:val="center"/>
                </w:tcPr>
                <w:p>
                  <w:pPr>
                    <w:adjustRightInd w:val="0"/>
                    <w:snapToGrid w:val="0"/>
                    <w:jc w:val="center"/>
                    <w:rPr>
                      <w:color w:val="auto"/>
                      <w:kern w:val="0"/>
                      <w:szCs w:val="21"/>
                    </w:rPr>
                  </w:pPr>
                  <w:r>
                    <w:rPr>
                      <w:color w:val="auto"/>
                      <w:kern w:val="0"/>
                      <w:szCs w:val="21"/>
                    </w:rPr>
                    <w:t>《声环境质量标准》（GB3096-2008）</w:t>
                  </w:r>
                  <w:r>
                    <w:rPr>
                      <w:rFonts w:hint="eastAsia"/>
                      <w:color w:val="auto"/>
                      <w:kern w:val="0"/>
                      <w:szCs w:val="21"/>
                    </w:rPr>
                    <w:t>2</w:t>
                  </w:r>
                  <w:r>
                    <w:rPr>
                      <w:color w:val="auto"/>
                      <w:kern w:val="0"/>
                      <w:szCs w:val="21"/>
                    </w:rPr>
                    <w:t>类</w:t>
                  </w:r>
                </w:p>
              </w:tc>
              <w:tc>
                <w:tcPr>
                  <w:tcW w:w="847" w:type="pct"/>
                  <w:noWrap w:val="0"/>
                  <w:vAlign w:val="center"/>
                </w:tcPr>
                <w:p>
                  <w:pPr>
                    <w:contextualSpacing/>
                    <w:jc w:val="center"/>
                    <w:rPr>
                      <w:color w:val="auto"/>
                      <w:szCs w:val="21"/>
                    </w:rPr>
                  </w:pPr>
                  <w:r>
                    <w:rPr>
                      <w:rFonts w:hint="eastAsia"/>
                      <w:color w:val="auto"/>
                      <w:szCs w:val="21"/>
                    </w:rPr>
                    <w:t>E</w:t>
                  </w:r>
                </w:p>
              </w:tc>
              <w:tc>
                <w:tcPr>
                  <w:tcW w:w="1207" w:type="pct"/>
                  <w:noWrap w:val="0"/>
                  <w:vAlign w:val="center"/>
                </w:tcPr>
                <w:p>
                  <w:pPr>
                    <w:contextualSpacing/>
                    <w:jc w:val="center"/>
                    <w:rPr>
                      <w:color w:val="auto"/>
                      <w:szCs w:val="21"/>
                    </w:rPr>
                  </w:pPr>
                  <w:r>
                    <w:rPr>
                      <w:rFonts w:hint="eastAsia"/>
                      <w:color w:val="auto"/>
                      <w:szCs w:val="21"/>
                    </w:rPr>
                    <w:t>24m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32" w:type="pct"/>
                  <w:vMerge w:val="continue"/>
                  <w:noWrap w:val="0"/>
                  <w:vAlign w:val="center"/>
                </w:tcPr>
                <w:p>
                  <w:pPr>
                    <w:adjustRightInd w:val="0"/>
                    <w:snapToGrid w:val="0"/>
                    <w:jc w:val="center"/>
                    <w:rPr>
                      <w:color w:val="auto"/>
                    </w:rPr>
                  </w:pPr>
                </w:p>
              </w:tc>
              <w:tc>
                <w:tcPr>
                  <w:tcW w:w="1814" w:type="pct"/>
                  <w:vMerge w:val="continue"/>
                  <w:noWrap w:val="0"/>
                  <w:vAlign w:val="center"/>
                </w:tcPr>
                <w:p>
                  <w:pPr>
                    <w:adjustRightInd w:val="0"/>
                    <w:snapToGrid w:val="0"/>
                    <w:jc w:val="center"/>
                    <w:rPr>
                      <w:color w:val="auto"/>
                    </w:rPr>
                  </w:pPr>
                </w:p>
              </w:tc>
              <w:tc>
                <w:tcPr>
                  <w:tcW w:w="847" w:type="pct"/>
                  <w:noWrap w:val="0"/>
                  <w:vAlign w:val="center"/>
                </w:tcPr>
                <w:p>
                  <w:pPr>
                    <w:contextualSpacing/>
                    <w:jc w:val="center"/>
                    <w:rPr>
                      <w:rFonts w:hint="eastAsia"/>
                      <w:color w:val="auto"/>
                      <w:szCs w:val="21"/>
                    </w:rPr>
                  </w:pPr>
                  <w:r>
                    <w:rPr>
                      <w:rFonts w:hint="eastAsia"/>
                      <w:color w:val="auto"/>
                      <w:szCs w:val="21"/>
                    </w:rPr>
                    <w:t>S</w:t>
                  </w:r>
                </w:p>
              </w:tc>
              <w:tc>
                <w:tcPr>
                  <w:tcW w:w="1207" w:type="pct"/>
                  <w:noWrap w:val="0"/>
                  <w:vAlign w:val="center"/>
                </w:tcPr>
                <w:p>
                  <w:pPr>
                    <w:contextualSpacing/>
                    <w:jc w:val="center"/>
                    <w:rPr>
                      <w:color w:val="auto"/>
                      <w:szCs w:val="21"/>
                    </w:rPr>
                  </w:pPr>
                  <w:r>
                    <w:rPr>
                      <w:rFonts w:hint="eastAsia"/>
                      <w:color w:val="auto"/>
                      <w:szCs w:val="21"/>
                    </w:rPr>
                    <w:t>8m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32" w:type="pct"/>
                  <w:vMerge w:val="continue"/>
                  <w:noWrap w:val="0"/>
                  <w:vAlign w:val="center"/>
                </w:tcPr>
                <w:p>
                  <w:pPr>
                    <w:adjustRightInd w:val="0"/>
                    <w:snapToGrid w:val="0"/>
                    <w:jc w:val="center"/>
                    <w:rPr>
                      <w:color w:val="auto"/>
                    </w:rPr>
                  </w:pPr>
                </w:p>
              </w:tc>
              <w:tc>
                <w:tcPr>
                  <w:tcW w:w="1814" w:type="pct"/>
                  <w:vMerge w:val="continue"/>
                  <w:noWrap w:val="0"/>
                  <w:vAlign w:val="center"/>
                </w:tcPr>
                <w:p>
                  <w:pPr>
                    <w:adjustRightInd w:val="0"/>
                    <w:snapToGrid w:val="0"/>
                    <w:jc w:val="center"/>
                    <w:rPr>
                      <w:color w:val="auto"/>
                    </w:rPr>
                  </w:pPr>
                </w:p>
              </w:tc>
              <w:tc>
                <w:tcPr>
                  <w:tcW w:w="847" w:type="pct"/>
                  <w:noWrap w:val="0"/>
                  <w:vAlign w:val="center"/>
                </w:tcPr>
                <w:p>
                  <w:pPr>
                    <w:contextualSpacing/>
                    <w:jc w:val="center"/>
                    <w:rPr>
                      <w:rFonts w:hint="eastAsia"/>
                      <w:color w:val="auto"/>
                      <w:szCs w:val="21"/>
                    </w:rPr>
                  </w:pPr>
                  <w:r>
                    <w:rPr>
                      <w:rFonts w:hint="eastAsia"/>
                      <w:color w:val="auto"/>
                      <w:szCs w:val="21"/>
                    </w:rPr>
                    <w:t>SE</w:t>
                  </w:r>
                </w:p>
              </w:tc>
              <w:tc>
                <w:tcPr>
                  <w:tcW w:w="1207" w:type="pct"/>
                  <w:noWrap w:val="0"/>
                  <w:vAlign w:val="center"/>
                </w:tcPr>
                <w:p>
                  <w:pPr>
                    <w:contextualSpacing/>
                    <w:jc w:val="center"/>
                    <w:rPr>
                      <w:rFonts w:hint="eastAsia"/>
                      <w:color w:val="auto"/>
                      <w:szCs w:val="21"/>
                    </w:rPr>
                  </w:pPr>
                  <w:r>
                    <w:rPr>
                      <w:rFonts w:hint="eastAsia"/>
                      <w:color w:val="auto"/>
                      <w:szCs w:val="21"/>
                    </w:rPr>
                    <w:t>29m</w:t>
                  </w:r>
                </w:p>
              </w:tc>
            </w:tr>
          </w:tbl>
          <w:p>
            <w:pPr>
              <w:spacing w:line="360" w:lineRule="auto"/>
              <w:ind w:firstLine="482" w:firstLineChars="200"/>
              <w:contextualSpacing/>
              <w:rPr>
                <w:b/>
                <w:color w:val="auto"/>
                <w:kern w:val="0"/>
                <w:sz w:val="24"/>
              </w:rPr>
            </w:pPr>
            <w:r>
              <w:rPr>
                <w:b/>
                <w:color w:val="auto"/>
                <w:kern w:val="0"/>
                <w:sz w:val="24"/>
              </w:rPr>
              <w:t>3、地下水环境保护目标</w:t>
            </w:r>
          </w:p>
          <w:p>
            <w:pPr>
              <w:adjustRightInd w:val="0"/>
              <w:snapToGrid w:val="0"/>
              <w:spacing w:line="360" w:lineRule="auto"/>
              <w:ind w:firstLine="405" w:firstLineChars="169"/>
              <w:rPr>
                <w:color w:val="auto"/>
                <w:kern w:val="0"/>
                <w:sz w:val="24"/>
              </w:rPr>
            </w:pPr>
            <w:r>
              <w:rPr>
                <w:color w:val="auto"/>
                <w:kern w:val="0"/>
                <w:sz w:val="24"/>
              </w:rPr>
              <w:t>本项目位于绥化市北林区东津镇原种子站西，</w:t>
            </w:r>
            <w:r>
              <w:rPr>
                <w:color w:val="auto"/>
                <w:sz w:val="24"/>
                <w:lang w:bidi="ar"/>
              </w:rPr>
              <w:t>厂界外500m范围内无热水、矿泉水、温泉等特殊地下水资源，</w:t>
            </w:r>
            <w:r>
              <w:rPr>
                <w:rFonts w:hint="eastAsia"/>
                <w:color w:val="auto"/>
                <w:sz w:val="24"/>
                <w:lang w:bidi="ar"/>
              </w:rPr>
              <w:t>东津镇</w:t>
            </w:r>
            <w:r>
              <w:rPr>
                <w:color w:val="auto"/>
                <w:sz w:val="24"/>
                <w:lang w:bidi="ar"/>
              </w:rPr>
              <w:t>地下水集中式</w:t>
            </w:r>
            <w:r>
              <w:rPr>
                <w:rFonts w:hint="eastAsia"/>
                <w:color w:val="auto"/>
                <w:sz w:val="24"/>
                <w:lang w:bidi="ar"/>
              </w:rPr>
              <w:t>饮</w:t>
            </w:r>
            <w:r>
              <w:rPr>
                <w:color w:val="auto"/>
                <w:sz w:val="24"/>
                <w:lang w:bidi="ar"/>
              </w:rPr>
              <w:t>用水水源井位于本项目厂界西南侧</w:t>
            </w:r>
            <w:r>
              <w:rPr>
                <w:rFonts w:hint="eastAsia"/>
                <w:color w:val="auto"/>
                <w:sz w:val="24"/>
                <w:lang w:bidi="ar"/>
              </w:rPr>
              <w:t>330m处</w:t>
            </w:r>
            <w:r>
              <w:rPr>
                <w:color w:val="auto"/>
                <w:sz w:val="24"/>
                <w:lang w:bidi="ar"/>
              </w:rPr>
              <w:t>，</w:t>
            </w:r>
            <w:r>
              <w:rPr>
                <w:color w:val="auto"/>
                <w:kern w:val="0"/>
                <w:sz w:val="24"/>
              </w:rPr>
              <w:t>本项目属于热力生产和供应项目，不存在土壤、地下水污染途径，因此，不进行地下水环境质量现状监测。</w:t>
            </w:r>
          </w:p>
          <w:p>
            <w:pPr>
              <w:pStyle w:val="34"/>
              <w:spacing w:beforeLines="0" w:afterLines="0" w:line="360" w:lineRule="auto"/>
              <w:ind w:firstLine="482"/>
              <w:contextualSpacing/>
              <w:rPr>
                <w:b/>
                <w:color w:val="auto"/>
                <w:lang w:val="en-US" w:eastAsia="zh-CN"/>
              </w:rPr>
            </w:pPr>
            <w:r>
              <w:rPr>
                <w:b/>
                <w:color w:val="auto"/>
                <w:lang w:val="en-US" w:eastAsia="zh-CN"/>
              </w:rPr>
              <w:t>4、生态环境保护目标</w:t>
            </w:r>
          </w:p>
          <w:p>
            <w:pPr>
              <w:adjustRightInd w:val="0"/>
              <w:snapToGrid w:val="0"/>
              <w:spacing w:line="360" w:lineRule="auto"/>
              <w:ind w:firstLine="405" w:firstLineChars="169"/>
              <w:rPr>
                <w:color w:val="auto"/>
                <w:kern w:val="0"/>
                <w:sz w:val="24"/>
              </w:rPr>
            </w:pPr>
            <w:r>
              <w:rPr>
                <w:rFonts w:hAnsi="宋体"/>
                <w:color w:val="auto"/>
                <w:kern w:val="0"/>
                <w:sz w:val="24"/>
              </w:rPr>
              <w:t>本项目位于</w:t>
            </w:r>
            <w:r>
              <w:rPr>
                <w:color w:val="auto"/>
                <w:kern w:val="0"/>
                <w:sz w:val="24"/>
              </w:rPr>
              <w:t>绥化市北林区东津镇原种子站西</w:t>
            </w:r>
            <w:r>
              <w:rPr>
                <w:rFonts w:hint="eastAsia"/>
                <w:color w:val="auto"/>
                <w:sz w:val="24"/>
              </w:rPr>
              <w:t>侧</w:t>
            </w:r>
            <w:r>
              <w:rPr>
                <w:rFonts w:hAnsi="宋体"/>
                <w:color w:val="auto"/>
                <w:kern w:val="0"/>
                <w:sz w:val="24"/>
              </w:rPr>
              <w:t>，用地范围内无生态环境保护目标，因此不进行生态现状调查</w:t>
            </w:r>
            <w:r>
              <w:rPr>
                <w:color w:val="auto"/>
                <w:kern w:val="0"/>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noWrap w:val="0"/>
            <w:tcMar>
              <w:left w:w="28" w:type="dxa"/>
              <w:right w:w="28" w:type="dxa"/>
            </w:tcMar>
            <w:vAlign w:val="center"/>
          </w:tcPr>
          <w:p>
            <w:pPr>
              <w:adjustRightInd w:val="0"/>
              <w:snapToGrid w:val="0"/>
              <w:jc w:val="center"/>
              <w:rPr>
                <w:color w:val="auto"/>
                <w:kern w:val="0"/>
                <w:sz w:val="24"/>
              </w:rPr>
            </w:pPr>
            <w:r>
              <w:rPr>
                <w:color w:val="auto"/>
                <w:kern w:val="0"/>
                <w:sz w:val="24"/>
              </w:rPr>
              <w:t>污染</w:t>
            </w:r>
          </w:p>
          <w:p>
            <w:pPr>
              <w:adjustRightInd w:val="0"/>
              <w:snapToGrid w:val="0"/>
              <w:jc w:val="center"/>
              <w:rPr>
                <w:color w:val="auto"/>
                <w:kern w:val="0"/>
                <w:sz w:val="24"/>
              </w:rPr>
            </w:pPr>
            <w:r>
              <w:rPr>
                <w:color w:val="auto"/>
                <w:kern w:val="0"/>
                <w:sz w:val="24"/>
              </w:rPr>
              <w:t>物排</w:t>
            </w:r>
          </w:p>
          <w:p>
            <w:pPr>
              <w:adjustRightInd w:val="0"/>
              <w:snapToGrid w:val="0"/>
              <w:jc w:val="center"/>
              <w:rPr>
                <w:color w:val="auto"/>
                <w:kern w:val="0"/>
                <w:sz w:val="24"/>
              </w:rPr>
            </w:pPr>
            <w:r>
              <w:rPr>
                <w:color w:val="auto"/>
                <w:kern w:val="0"/>
                <w:sz w:val="24"/>
              </w:rPr>
              <w:t>放控</w:t>
            </w:r>
          </w:p>
          <w:p>
            <w:pPr>
              <w:adjustRightInd w:val="0"/>
              <w:snapToGrid w:val="0"/>
              <w:jc w:val="center"/>
              <w:rPr>
                <w:color w:val="auto"/>
                <w:kern w:val="0"/>
                <w:sz w:val="24"/>
              </w:rPr>
            </w:pPr>
            <w:r>
              <w:rPr>
                <w:color w:val="auto"/>
                <w:kern w:val="0"/>
                <w:sz w:val="24"/>
              </w:rPr>
              <w:t>制标</w:t>
            </w:r>
          </w:p>
          <w:p>
            <w:pPr>
              <w:adjustRightInd w:val="0"/>
              <w:snapToGrid w:val="0"/>
              <w:jc w:val="center"/>
              <w:rPr>
                <w:color w:val="auto"/>
                <w:kern w:val="0"/>
                <w:sz w:val="24"/>
              </w:rPr>
            </w:pPr>
            <w:r>
              <w:rPr>
                <w:color w:val="auto"/>
                <w:kern w:val="0"/>
                <w:sz w:val="24"/>
              </w:rPr>
              <w:t>准</w:t>
            </w:r>
          </w:p>
        </w:tc>
        <w:tc>
          <w:tcPr>
            <w:tcW w:w="8190" w:type="dxa"/>
            <w:noWrap w:val="0"/>
            <w:vAlign w:val="center"/>
          </w:tcPr>
          <w:p>
            <w:pPr>
              <w:adjustRightInd w:val="0"/>
              <w:snapToGrid w:val="0"/>
              <w:spacing w:line="360" w:lineRule="auto"/>
              <w:ind w:firstLine="583" w:firstLineChars="242"/>
              <w:rPr>
                <w:b/>
                <w:color w:val="auto"/>
                <w:sz w:val="24"/>
              </w:rPr>
            </w:pPr>
            <w:r>
              <w:rPr>
                <w:rFonts w:hint="eastAsia"/>
                <w:b/>
                <w:color w:val="auto"/>
                <w:sz w:val="24"/>
              </w:rPr>
              <w:t>1</w:t>
            </w:r>
            <w:r>
              <w:rPr>
                <w:b/>
                <w:color w:val="auto"/>
                <w:sz w:val="24"/>
              </w:rPr>
              <w:t>、废气</w:t>
            </w:r>
          </w:p>
          <w:p>
            <w:pPr>
              <w:spacing w:line="360" w:lineRule="auto"/>
              <w:ind w:firstLine="482"/>
              <w:rPr>
                <w:bCs/>
                <w:snapToGrid w:val="0"/>
                <w:color w:val="auto"/>
                <w:kern w:val="0"/>
                <w:sz w:val="24"/>
              </w:rPr>
            </w:pPr>
            <w:r>
              <w:rPr>
                <w:rFonts w:hint="eastAsia"/>
                <w:color w:val="auto"/>
                <w:kern w:val="0"/>
                <w:sz w:val="24"/>
              </w:rPr>
              <w:t>本项目营运期生物质锅炉烟气执行《锅炉大气污染物排放标准》（GB13271-2014）表2燃煤锅炉限值要求，厂界颗粒物执行</w:t>
            </w:r>
            <w:r>
              <w:rPr>
                <w:bCs/>
                <w:color w:val="auto"/>
                <w:sz w:val="24"/>
              </w:rPr>
              <w:t>《大气污染物综合排放标准》（GB16297-1996）表2无组织排放标准限值。</w:t>
            </w:r>
          </w:p>
          <w:p>
            <w:pPr>
              <w:spacing w:line="360" w:lineRule="auto"/>
              <w:ind w:firstLine="482"/>
              <w:jc w:val="center"/>
              <w:rPr>
                <w:b/>
                <w:bCs/>
                <w:snapToGrid w:val="0"/>
                <w:color w:val="auto"/>
                <w:kern w:val="0"/>
                <w:sz w:val="24"/>
                <w:vertAlign w:val="superscript"/>
              </w:rPr>
            </w:pPr>
            <w:r>
              <w:rPr>
                <w:b/>
                <w:bCs/>
                <w:snapToGrid w:val="0"/>
                <w:color w:val="auto"/>
                <w:kern w:val="0"/>
                <w:sz w:val="24"/>
              </w:rPr>
              <w:t>表3-</w:t>
            </w:r>
            <w:r>
              <w:rPr>
                <w:rFonts w:hint="eastAsia"/>
                <w:b/>
                <w:bCs/>
                <w:snapToGrid w:val="0"/>
                <w:color w:val="auto"/>
                <w:kern w:val="0"/>
                <w:sz w:val="24"/>
              </w:rPr>
              <w:t xml:space="preserve">4 </w:t>
            </w:r>
            <w:r>
              <w:rPr>
                <w:b/>
                <w:bCs/>
                <w:snapToGrid w:val="0"/>
                <w:color w:val="auto"/>
                <w:kern w:val="0"/>
                <w:sz w:val="24"/>
              </w:rPr>
              <w:t>厂界废气排放标准排放限值   mg/m</w:t>
            </w:r>
            <w:r>
              <w:rPr>
                <w:b/>
                <w:bCs/>
                <w:snapToGrid w:val="0"/>
                <w:color w:val="auto"/>
                <w:kern w:val="0"/>
                <w:sz w:val="24"/>
                <w:vertAlign w:val="superscript"/>
              </w:rPr>
              <w:t>3</w:t>
            </w:r>
          </w:p>
          <w:tbl>
            <w:tblPr>
              <w:tblStyle w:val="15"/>
              <w:tblW w:w="4863"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23" w:type="dxa"/>
                <w:bottom w:w="0" w:type="dxa"/>
                <w:right w:w="23" w:type="dxa"/>
              </w:tblCellMar>
            </w:tblPr>
            <w:tblGrid>
              <w:gridCol w:w="961"/>
              <w:gridCol w:w="762"/>
              <w:gridCol w:w="993"/>
              <w:gridCol w:w="993"/>
              <w:gridCol w:w="796"/>
              <w:gridCol w:w="325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21" w:hRule="atLeast"/>
                <w:jc w:val="center"/>
              </w:trPr>
              <w:tc>
                <w:tcPr>
                  <w:tcW w:w="619" w:type="pct"/>
                  <w:tcBorders>
                    <w:top w:val="single" w:color="auto" w:sz="12" w:space="0"/>
                    <w:bottom w:val="single" w:color="auto" w:sz="6" w:space="0"/>
                  </w:tcBorders>
                  <w:noWrap w:val="0"/>
                  <w:vAlign w:val="center"/>
                </w:tcPr>
                <w:p>
                  <w:pPr>
                    <w:jc w:val="center"/>
                    <w:rPr>
                      <w:bCs/>
                      <w:snapToGrid w:val="0"/>
                      <w:color w:val="auto"/>
                      <w:kern w:val="0"/>
                      <w:szCs w:val="21"/>
                    </w:rPr>
                  </w:pPr>
                  <w:r>
                    <w:rPr>
                      <w:bCs/>
                      <w:snapToGrid w:val="0"/>
                      <w:color w:val="auto"/>
                      <w:kern w:val="0"/>
                      <w:szCs w:val="21"/>
                    </w:rPr>
                    <w:t>评价时段</w:t>
                  </w:r>
                </w:p>
              </w:tc>
              <w:tc>
                <w:tcPr>
                  <w:tcW w:w="491" w:type="pct"/>
                  <w:tcBorders>
                    <w:top w:val="single" w:color="auto" w:sz="12" w:space="0"/>
                    <w:bottom w:val="single" w:color="auto" w:sz="6" w:space="0"/>
                    <w:right w:val="single" w:color="auto" w:sz="4" w:space="0"/>
                  </w:tcBorders>
                  <w:noWrap w:val="0"/>
                  <w:vAlign w:val="center"/>
                </w:tcPr>
                <w:p>
                  <w:pPr>
                    <w:jc w:val="center"/>
                    <w:rPr>
                      <w:bCs/>
                      <w:snapToGrid w:val="0"/>
                      <w:color w:val="auto"/>
                      <w:kern w:val="0"/>
                      <w:szCs w:val="21"/>
                    </w:rPr>
                  </w:pPr>
                  <w:r>
                    <w:rPr>
                      <w:bCs/>
                      <w:snapToGrid w:val="0"/>
                      <w:color w:val="auto"/>
                      <w:kern w:val="0"/>
                      <w:szCs w:val="21"/>
                    </w:rPr>
                    <w:t>污染源</w:t>
                  </w:r>
                </w:p>
              </w:tc>
              <w:tc>
                <w:tcPr>
                  <w:tcW w:w="640" w:type="pct"/>
                  <w:tcBorders>
                    <w:top w:val="single" w:color="auto" w:sz="12" w:space="0"/>
                    <w:left w:val="single" w:color="auto" w:sz="4" w:space="0"/>
                    <w:bottom w:val="single" w:color="auto" w:sz="6" w:space="0"/>
                    <w:right w:val="single" w:color="auto" w:sz="4" w:space="0"/>
                  </w:tcBorders>
                  <w:noWrap w:val="0"/>
                  <w:vAlign w:val="center"/>
                </w:tcPr>
                <w:p>
                  <w:pPr>
                    <w:jc w:val="center"/>
                    <w:rPr>
                      <w:bCs/>
                      <w:snapToGrid w:val="0"/>
                      <w:color w:val="auto"/>
                      <w:kern w:val="0"/>
                      <w:szCs w:val="21"/>
                    </w:rPr>
                  </w:pPr>
                  <w:r>
                    <w:rPr>
                      <w:bCs/>
                      <w:snapToGrid w:val="0"/>
                      <w:color w:val="auto"/>
                      <w:kern w:val="0"/>
                      <w:szCs w:val="21"/>
                    </w:rPr>
                    <w:t>污染因子</w:t>
                  </w:r>
                </w:p>
              </w:tc>
              <w:tc>
                <w:tcPr>
                  <w:tcW w:w="640" w:type="pct"/>
                  <w:tcBorders>
                    <w:top w:val="single" w:color="auto" w:sz="12" w:space="0"/>
                    <w:left w:val="single" w:color="auto" w:sz="4" w:space="0"/>
                    <w:bottom w:val="single" w:color="auto" w:sz="6" w:space="0"/>
                    <w:right w:val="single" w:color="auto" w:sz="4" w:space="0"/>
                  </w:tcBorders>
                  <w:noWrap w:val="0"/>
                  <w:vAlign w:val="center"/>
                </w:tcPr>
                <w:p>
                  <w:pPr>
                    <w:jc w:val="center"/>
                    <w:rPr>
                      <w:bCs/>
                      <w:snapToGrid w:val="0"/>
                      <w:color w:val="auto"/>
                      <w:kern w:val="0"/>
                      <w:szCs w:val="21"/>
                    </w:rPr>
                  </w:pPr>
                  <w:r>
                    <w:rPr>
                      <w:bCs/>
                      <w:snapToGrid w:val="0"/>
                      <w:color w:val="auto"/>
                      <w:kern w:val="0"/>
                      <w:szCs w:val="21"/>
                    </w:rPr>
                    <w:t>标准限值</w:t>
                  </w:r>
                </w:p>
              </w:tc>
              <w:tc>
                <w:tcPr>
                  <w:tcW w:w="513" w:type="pct"/>
                  <w:tcBorders>
                    <w:top w:val="single" w:color="auto" w:sz="12" w:space="0"/>
                    <w:left w:val="single" w:color="auto" w:sz="4" w:space="0"/>
                    <w:bottom w:val="single" w:color="auto" w:sz="6" w:space="0"/>
                  </w:tcBorders>
                  <w:noWrap w:val="0"/>
                  <w:vAlign w:val="center"/>
                </w:tcPr>
                <w:p>
                  <w:pPr>
                    <w:jc w:val="center"/>
                    <w:rPr>
                      <w:bCs/>
                      <w:snapToGrid w:val="0"/>
                      <w:color w:val="auto"/>
                      <w:kern w:val="0"/>
                      <w:szCs w:val="21"/>
                    </w:rPr>
                  </w:pPr>
                  <w:r>
                    <w:rPr>
                      <w:bCs/>
                      <w:snapToGrid w:val="0"/>
                      <w:color w:val="auto"/>
                      <w:kern w:val="0"/>
                      <w:szCs w:val="21"/>
                    </w:rPr>
                    <w:t>单位</w:t>
                  </w:r>
                </w:p>
              </w:tc>
              <w:tc>
                <w:tcPr>
                  <w:tcW w:w="2095" w:type="pct"/>
                  <w:tcBorders>
                    <w:top w:val="single" w:color="auto" w:sz="12" w:space="0"/>
                    <w:bottom w:val="single" w:color="auto" w:sz="6" w:space="0"/>
                  </w:tcBorders>
                  <w:noWrap w:val="0"/>
                  <w:vAlign w:val="center"/>
                </w:tcPr>
                <w:p>
                  <w:pPr>
                    <w:ind w:firstLine="482"/>
                    <w:jc w:val="center"/>
                    <w:rPr>
                      <w:bCs/>
                      <w:snapToGrid w:val="0"/>
                      <w:color w:val="auto"/>
                      <w:kern w:val="0"/>
                      <w:szCs w:val="21"/>
                    </w:rPr>
                  </w:pPr>
                  <w:r>
                    <w:rPr>
                      <w:bCs/>
                      <w:snapToGrid w:val="0"/>
                      <w:color w:val="auto"/>
                      <w:kern w:val="0"/>
                      <w:szCs w:val="21"/>
                    </w:rPr>
                    <w:t>标准名称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3" w:type="dxa"/>
                  <w:bottom w:w="0" w:type="dxa"/>
                  <w:right w:w="23" w:type="dxa"/>
                </w:tblCellMar>
              </w:tblPrEx>
              <w:trPr>
                <w:trHeight w:val="1108" w:hRule="atLeast"/>
                <w:jc w:val="center"/>
              </w:trPr>
              <w:tc>
                <w:tcPr>
                  <w:tcW w:w="619" w:type="pct"/>
                  <w:tcBorders>
                    <w:top w:val="single" w:color="auto" w:sz="6" w:space="0"/>
                    <w:bottom w:val="single" w:color="auto" w:sz="12" w:space="0"/>
                  </w:tcBorders>
                  <w:noWrap w:val="0"/>
                  <w:vAlign w:val="center"/>
                </w:tcPr>
                <w:p>
                  <w:pPr>
                    <w:jc w:val="center"/>
                    <w:rPr>
                      <w:bCs/>
                      <w:snapToGrid w:val="0"/>
                      <w:color w:val="auto"/>
                      <w:kern w:val="0"/>
                      <w:szCs w:val="21"/>
                    </w:rPr>
                  </w:pPr>
                  <w:r>
                    <w:rPr>
                      <w:bCs/>
                      <w:snapToGrid w:val="0"/>
                      <w:color w:val="auto"/>
                      <w:kern w:val="0"/>
                      <w:szCs w:val="21"/>
                    </w:rPr>
                    <w:t>运营期</w:t>
                  </w:r>
                </w:p>
              </w:tc>
              <w:tc>
                <w:tcPr>
                  <w:tcW w:w="491" w:type="pct"/>
                  <w:tcBorders>
                    <w:top w:val="single" w:color="auto" w:sz="6" w:space="0"/>
                    <w:bottom w:val="single" w:color="auto" w:sz="12" w:space="0"/>
                    <w:right w:val="single" w:color="auto" w:sz="4" w:space="0"/>
                  </w:tcBorders>
                  <w:noWrap w:val="0"/>
                  <w:vAlign w:val="center"/>
                </w:tcPr>
                <w:p>
                  <w:pPr>
                    <w:jc w:val="center"/>
                    <w:rPr>
                      <w:bCs/>
                      <w:snapToGrid w:val="0"/>
                      <w:color w:val="auto"/>
                      <w:kern w:val="0"/>
                      <w:szCs w:val="21"/>
                    </w:rPr>
                  </w:pPr>
                  <w:r>
                    <w:rPr>
                      <w:bCs/>
                      <w:snapToGrid w:val="0"/>
                      <w:color w:val="auto"/>
                      <w:kern w:val="0"/>
                      <w:szCs w:val="21"/>
                    </w:rPr>
                    <w:t>无组织排放</w:t>
                  </w:r>
                </w:p>
              </w:tc>
              <w:tc>
                <w:tcPr>
                  <w:tcW w:w="640" w:type="pct"/>
                  <w:tcBorders>
                    <w:top w:val="single" w:color="auto" w:sz="6" w:space="0"/>
                    <w:left w:val="single" w:color="auto" w:sz="4" w:space="0"/>
                    <w:bottom w:val="single" w:color="auto" w:sz="12" w:space="0"/>
                    <w:right w:val="single" w:color="auto" w:sz="4" w:space="0"/>
                  </w:tcBorders>
                  <w:noWrap w:val="0"/>
                  <w:vAlign w:val="center"/>
                </w:tcPr>
                <w:p>
                  <w:pPr>
                    <w:jc w:val="center"/>
                    <w:rPr>
                      <w:bCs/>
                      <w:snapToGrid w:val="0"/>
                      <w:color w:val="auto"/>
                      <w:kern w:val="0"/>
                      <w:szCs w:val="21"/>
                    </w:rPr>
                  </w:pPr>
                  <w:r>
                    <w:rPr>
                      <w:bCs/>
                      <w:snapToGrid w:val="0"/>
                      <w:color w:val="auto"/>
                      <w:kern w:val="0"/>
                      <w:szCs w:val="21"/>
                    </w:rPr>
                    <w:t>颗粒物</w:t>
                  </w:r>
                </w:p>
              </w:tc>
              <w:tc>
                <w:tcPr>
                  <w:tcW w:w="640" w:type="pct"/>
                  <w:tcBorders>
                    <w:top w:val="single" w:color="auto" w:sz="6" w:space="0"/>
                    <w:left w:val="single" w:color="auto" w:sz="4" w:space="0"/>
                    <w:bottom w:val="single" w:color="auto" w:sz="12" w:space="0"/>
                    <w:right w:val="single" w:color="auto" w:sz="4" w:space="0"/>
                  </w:tcBorders>
                  <w:noWrap w:val="0"/>
                  <w:vAlign w:val="center"/>
                </w:tcPr>
                <w:p>
                  <w:pPr>
                    <w:jc w:val="center"/>
                    <w:rPr>
                      <w:bCs/>
                      <w:snapToGrid w:val="0"/>
                      <w:color w:val="auto"/>
                      <w:kern w:val="0"/>
                      <w:szCs w:val="21"/>
                    </w:rPr>
                  </w:pPr>
                  <w:r>
                    <w:rPr>
                      <w:bCs/>
                      <w:snapToGrid w:val="0"/>
                      <w:color w:val="auto"/>
                      <w:kern w:val="0"/>
                      <w:szCs w:val="21"/>
                    </w:rPr>
                    <w:t>1.0</w:t>
                  </w:r>
                </w:p>
              </w:tc>
              <w:tc>
                <w:tcPr>
                  <w:tcW w:w="513" w:type="pct"/>
                  <w:tcBorders>
                    <w:top w:val="single" w:color="auto" w:sz="6" w:space="0"/>
                    <w:left w:val="single" w:color="auto" w:sz="4" w:space="0"/>
                    <w:bottom w:val="single" w:color="auto" w:sz="12" w:space="0"/>
                  </w:tcBorders>
                  <w:noWrap w:val="0"/>
                  <w:vAlign w:val="center"/>
                </w:tcPr>
                <w:p>
                  <w:pPr>
                    <w:jc w:val="center"/>
                    <w:rPr>
                      <w:bCs/>
                      <w:snapToGrid w:val="0"/>
                      <w:color w:val="auto"/>
                      <w:kern w:val="0"/>
                      <w:szCs w:val="21"/>
                    </w:rPr>
                  </w:pPr>
                  <w:r>
                    <w:rPr>
                      <w:bCs/>
                      <w:snapToGrid w:val="0"/>
                      <w:color w:val="auto"/>
                      <w:kern w:val="0"/>
                      <w:szCs w:val="21"/>
                    </w:rPr>
                    <w:t>mg/m</w:t>
                  </w:r>
                  <w:r>
                    <w:rPr>
                      <w:bCs/>
                      <w:snapToGrid w:val="0"/>
                      <w:color w:val="auto"/>
                      <w:kern w:val="0"/>
                      <w:szCs w:val="21"/>
                      <w:vertAlign w:val="superscript"/>
                    </w:rPr>
                    <w:t>3</w:t>
                  </w:r>
                </w:p>
              </w:tc>
              <w:tc>
                <w:tcPr>
                  <w:tcW w:w="2095" w:type="pct"/>
                  <w:tcBorders>
                    <w:top w:val="single" w:color="auto" w:sz="6" w:space="0"/>
                    <w:bottom w:val="single" w:color="auto" w:sz="12" w:space="0"/>
                  </w:tcBorders>
                  <w:noWrap w:val="0"/>
                  <w:vAlign w:val="center"/>
                </w:tcPr>
                <w:p>
                  <w:pPr>
                    <w:jc w:val="center"/>
                    <w:rPr>
                      <w:bCs/>
                      <w:snapToGrid w:val="0"/>
                      <w:color w:val="auto"/>
                      <w:kern w:val="0"/>
                      <w:szCs w:val="21"/>
                    </w:rPr>
                  </w:pPr>
                  <w:r>
                    <w:rPr>
                      <w:bCs/>
                      <w:snapToGrid w:val="0"/>
                      <w:color w:val="auto"/>
                      <w:kern w:val="0"/>
                      <w:szCs w:val="21"/>
                    </w:rPr>
                    <w:t>《大气污染物综合排放标准》（GB16297-1996）表2中无组织排放监控浓度限值要求</w:t>
                  </w:r>
                </w:p>
              </w:tc>
            </w:tr>
          </w:tbl>
          <w:p>
            <w:pPr>
              <w:spacing w:line="360" w:lineRule="auto"/>
              <w:jc w:val="center"/>
              <w:rPr>
                <w:b/>
                <w:bCs/>
                <w:color w:val="auto"/>
                <w:kern w:val="0"/>
                <w:sz w:val="24"/>
              </w:rPr>
            </w:pPr>
            <w:r>
              <w:rPr>
                <w:b/>
                <w:bCs/>
                <w:color w:val="auto"/>
                <w:kern w:val="0"/>
                <w:sz w:val="24"/>
              </w:rPr>
              <w:t>表3-</w:t>
            </w:r>
            <w:r>
              <w:rPr>
                <w:rFonts w:hint="eastAsia"/>
                <w:b/>
                <w:bCs/>
                <w:color w:val="auto"/>
                <w:kern w:val="0"/>
                <w:sz w:val="24"/>
              </w:rPr>
              <w:t xml:space="preserve">5  </w:t>
            </w:r>
            <w:r>
              <w:rPr>
                <w:b/>
                <w:bCs/>
                <w:color w:val="auto"/>
                <w:kern w:val="0"/>
                <w:sz w:val="24"/>
              </w:rPr>
              <w:t>锅炉大气污染物排放标准</w:t>
            </w:r>
          </w:p>
          <w:tbl>
            <w:tblPr>
              <w:tblStyle w:val="1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6" w:type="dxa"/>
                <w:bottom w:w="0" w:type="dxa"/>
                <w:right w:w="56" w:type="dxa"/>
              </w:tblCellMar>
            </w:tblPr>
            <w:tblGrid>
              <w:gridCol w:w="1743"/>
              <w:gridCol w:w="1785"/>
              <w:gridCol w:w="1956"/>
              <w:gridCol w:w="249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6" w:type="dxa"/>
                  <w:bottom w:w="0" w:type="dxa"/>
                  <w:right w:w="56" w:type="dxa"/>
                </w:tblCellMar>
              </w:tblPrEx>
              <w:trPr>
                <w:cantSplit/>
                <w:trHeight w:val="344" w:hRule="exact"/>
                <w:jc w:val="center"/>
              </w:trPr>
              <w:tc>
                <w:tcPr>
                  <w:tcW w:w="1093" w:type="pct"/>
                  <w:noWrap w:val="0"/>
                  <w:vAlign w:val="center"/>
                </w:tcPr>
                <w:p>
                  <w:pPr>
                    <w:widowControl/>
                    <w:adjustRightInd w:val="0"/>
                    <w:snapToGrid w:val="0"/>
                    <w:spacing w:line="360" w:lineRule="auto"/>
                    <w:jc w:val="center"/>
                    <w:rPr>
                      <w:snapToGrid w:val="0"/>
                      <w:color w:val="auto"/>
                      <w:kern w:val="0"/>
                      <w:szCs w:val="21"/>
                    </w:rPr>
                  </w:pPr>
                  <w:r>
                    <w:rPr>
                      <w:snapToGrid w:val="0"/>
                      <w:color w:val="auto"/>
                      <w:kern w:val="0"/>
                      <w:szCs w:val="21"/>
                    </w:rPr>
                    <w:t>颗粒物浓度</w:t>
                  </w:r>
                </w:p>
              </w:tc>
              <w:tc>
                <w:tcPr>
                  <w:tcW w:w="1119" w:type="pct"/>
                  <w:noWrap w:val="0"/>
                  <w:vAlign w:val="center"/>
                </w:tcPr>
                <w:p>
                  <w:pPr>
                    <w:widowControl/>
                    <w:adjustRightInd w:val="0"/>
                    <w:snapToGrid w:val="0"/>
                    <w:spacing w:line="360" w:lineRule="auto"/>
                    <w:jc w:val="center"/>
                    <w:rPr>
                      <w:snapToGrid w:val="0"/>
                      <w:color w:val="auto"/>
                      <w:kern w:val="0"/>
                      <w:szCs w:val="21"/>
                    </w:rPr>
                  </w:pPr>
                  <w:r>
                    <w:rPr>
                      <w:snapToGrid w:val="0"/>
                      <w:color w:val="auto"/>
                      <w:kern w:val="0"/>
                      <w:szCs w:val="21"/>
                    </w:rPr>
                    <w:t>二氧化硫浓度</w:t>
                  </w:r>
                </w:p>
              </w:tc>
              <w:tc>
                <w:tcPr>
                  <w:tcW w:w="1226" w:type="pct"/>
                  <w:noWrap w:val="0"/>
                  <w:vAlign w:val="center"/>
                </w:tcPr>
                <w:p>
                  <w:pPr>
                    <w:widowControl/>
                    <w:adjustRightInd w:val="0"/>
                    <w:snapToGrid w:val="0"/>
                    <w:spacing w:line="360" w:lineRule="auto"/>
                    <w:jc w:val="center"/>
                    <w:rPr>
                      <w:snapToGrid w:val="0"/>
                      <w:color w:val="auto"/>
                      <w:kern w:val="0"/>
                      <w:szCs w:val="21"/>
                    </w:rPr>
                  </w:pPr>
                  <w:r>
                    <w:rPr>
                      <w:bCs/>
                      <w:snapToGrid w:val="0"/>
                      <w:color w:val="auto"/>
                      <w:kern w:val="0"/>
                      <w:szCs w:val="21"/>
                    </w:rPr>
                    <w:t>氮氧化物浓度</w:t>
                  </w:r>
                </w:p>
              </w:tc>
              <w:tc>
                <w:tcPr>
                  <w:tcW w:w="1561" w:type="pct"/>
                  <w:noWrap w:val="0"/>
                  <w:vAlign w:val="center"/>
                </w:tcPr>
                <w:p>
                  <w:pPr>
                    <w:widowControl/>
                    <w:adjustRightInd w:val="0"/>
                    <w:snapToGrid w:val="0"/>
                    <w:spacing w:line="360" w:lineRule="auto"/>
                    <w:jc w:val="center"/>
                    <w:rPr>
                      <w:snapToGrid w:val="0"/>
                      <w:color w:val="auto"/>
                      <w:kern w:val="0"/>
                      <w:szCs w:val="21"/>
                    </w:rPr>
                  </w:pPr>
                  <w:r>
                    <w:rPr>
                      <w:snapToGrid w:val="0"/>
                      <w:color w:val="auto"/>
                      <w:kern w:val="0"/>
                      <w:szCs w:val="21"/>
                    </w:rPr>
                    <w:t>烟气黑度（</w:t>
                  </w:r>
                  <w:r>
                    <w:rPr>
                      <w:bCs/>
                      <w:snapToGrid w:val="0"/>
                      <w:color w:val="auto"/>
                      <w:kern w:val="0"/>
                      <w:szCs w:val="21"/>
                    </w:rPr>
                    <w:t>林格曼黑度</w:t>
                  </w:r>
                  <w:r>
                    <w:rPr>
                      <w:snapToGrid w:val="0"/>
                      <w:color w:val="auto"/>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6" w:type="dxa"/>
                  <w:bottom w:w="0" w:type="dxa"/>
                  <w:right w:w="56" w:type="dxa"/>
                </w:tblCellMar>
              </w:tblPrEx>
              <w:trPr>
                <w:cantSplit/>
                <w:trHeight w:val="287" w:hRule="exact"/>
                <w:jc w:val="center"/>
              </w:trPr>
              <w:tc>
                <w:tcPr>
                  <w:tcW w:w="1093" w:type="pct"/>
                  <w:noWrap w:val="0"/>
                  <w:vAlign w:val="center"/>
                </w:tcPr>
                <w:p>
                  <w:pPr>
                    <w:widowControl/>
                    <w:adjustRightInd w:val="0"/>
                    <w:snapToGrid w:val="0"/>
                    <w:jc w:val="center"/>
                    <w:rPr>
                      <w:snapToGrid w:val="0"/>
                      <w:color w:val="auto"/>
                      <w:kern w:val="0"/>
                      <w:szCs w:val="21"/>
                    </w:rPr>
                  </w:pPr>
                  <w:r>
                    <w:rPr>
                      <w:snapToGrid w:val="0"/>
                      <w:color w:val="auto"/>
                      <w:kern w:val="0"/>
                      <w:szCs w:val="21"/>
                    </w:rPr>
                    <w:t>50mg/m</w:t>
                  </w:r>
                  <w:r>
                    <w:rPr>
                      <w:snapToGrid w:val="0"/>
                      <w:color w:val="auto"/>
                      <w:kern w:val="0"/>
                      <w:szCs w:val="21"/>
                      <w:vertAlign w:val="superscript"/>
                    </w:rPr>
                    <w:t>3</w:t>
                  </w:r>
                </w:p>
              </w:tc>
              <w:tc>
                <w:tcPr>
                  <w:tcW w:w="1119" w:type="pct"/>
                  <w:noWrap w:val="0"/>
                  <w:vAlign w:val="center"/>
                </w:tcPr>
                <w:p>
                  <w:pPr>
                    <w:widowControl/>
                    <w:adjustRightInd w:val="0"/>
                    <w:snapToGrid w:val="0"/>
                    <w:jc w:val="center"/>
                    <w:rPr>
                      <w:snapToGrid w:val="0"/>
                      <w:color w:val="auto"/>
                      <w:kern w:val="0"/>
                      <w:szCs w:val="21"/>
                    </w:rPr>
                  </w:pPr>
                  <w:r>
                    <w:rPr>
                      <w:snapToGrid w:val="0"/>
                      <w:color w:val="auto"/>
                      <w:kern w:val="0"/>
                      <w:szCs w:val="21"/>
                    </w:rPr>
                    <w:t>300mg/m</w:t>
                  </w:r>
                  <w:r>
                    <w:rPr>
                      <w:snapToGrid w:val="0"/>
                      <w:color w:val="auto"/>
                      <w:kern w:val="0"/>
                      <w:szCs w:val="21"/>
                      <w:vertAlign w:val="superscript"/>
                    </w:rPr>
                    <w:t>3</w:t>
                  </w:r>
                </w:p>
              </w:tc>
              <w:tc>
                <w:tcPr>
                  <w:tcW w:w="1226" w:type="pct"/>
                  <w:noWrap w:val="0"/>
                  <w:vAlign w:val="center"/>
                </w:tcPr>
                <w:p>
                  <w:pPr>
                    <w:widowControl/>
                    <w:adjustRightInd w:val="0"/>
                    <w:snapToGrid w:val="0"/>
                    <w:jc w:val="center"/>
                    <w:rPr>
                      <w:snapToGrid w:val="0"/>
                      <w:color w:val="auto"/>
                      <w:kern w:val="0"/>
                      <w:szCs w:val="21"/>
                    </w:rPr>
                  </w:pPr>
                  <w:r>
                    <w:rPr>
                      <w:bCs/>
                      <w:snapToGrid w:val="0"/>
                      <w:color w:val="auto"/>
                      <w:kern w:val="0"/>
                      <w:szCs w:val="21"/>
                    </w:rPr>
                    <w:t>300mg/m</w:t>
                  </w:r>
                  <w:r>
                    <w:rPr>
                      <w:bCs/>
                      <w:snapToGrid w:val="0"/>
                      <w:color w:val="auto"/>
                      <w:kern w:val="0"/>
                      <w:szCs w:val="21"/>
                      <w:vertAlign w:val="superscript"/>
                    </w:rPr>
                    <w:t>3</w:t>
                  </w:r>
                </w:p>
              </w:tc>
              <w:tc>
                <w:tcPr>
                  <w:tcW w:w="1561" w:type="pct"/>
                  <w:noWrap w:val="0"/>
                  <w:vAlign w:val="center"/>
                </w:tcPr>
                <w:p>
                  <w:pPr>
                    <w:widowControl/>
                    <w:adjustRightInd w:val="0"/>
                    <w:snapToGrid w:val="0"/>
                    <w:jc w:val="center"/>
                    <w:rPr>
                      <w:snapToGrid w:val="0"/>
                      <w:color w:val="auto"/>
                      <w:kern w:val="0"/>
                      <w:szCs w:val="21"/>
                    </w:rPr>
                  </w:pPr>
                  <w:r>
                    <w:rPr>
                      <w:snapToGrid w:val="0"/>
                      <w:color w:val="auto"/>
                      <w:kern w:val="0"/>
                      <w:szCs w:val="21"/>
                    </w:rPr>
                    <w:t>1级</w:t>
                  </w:r>
                </w:p>
              </w:tc>
            </w:tr>
          </w:tbl>
          <w:p>
            <w:pPr>
              <w:spacing w:line="360" w:lineRule="auto"/>
              <w:ind w:firstLine="482" w:firstLineChars="200"/>
              <w:contextualSpacing/>
              <w:rPr>
                <w:b/>
                <w:bCs/>
                <w:color w:val="auto"/>
                <w:kern w:val="0"/>
                <w:sz w:val="24"/>
              </w:rPr>
            </w:pPr>
            <w:r>
              <w:rPr>
                <w:rFonts w:hint="eastAsia"/>
                <w:b/>
                <w:bCs/>
                <w:color w:val="auto"/>
                <w:kern w:val="0"/>
                <w:sz w:val="24"/>
              </w:rPr>
              <w:t>2</w:t>
            </w:r>
            <w:r>
              <w:rPr>
                <w:b/>
                <w:bCs/>
                <w:color w:val="auto"/>
                <w:kern w:val="0"/>
                <w:sz w:val="24"/>
              </w:rPr>
              <w:t>、噪声</w:t>
            </w:r>
          </w:p>
          <w:p>
            <w:pPr>
              <w:pStyle w:val="35"/>
              <w:snapToGrid/>
              <w:ind w:firstLine="480"/>
              <w:contextualSpacing/>
              <w:rPr>
                <w:b/>
                <w:color w:val="auto"/>
                <w:sz w:val="24"/>
              </w:rPr>
            </w:pPr>
            <w:r>
              <w:rPr>
                <w:bCs/>
                <w:color w:val="auto"/>
                <w:sz w:val="24"/>
              </w:rPr>
              <w:t>营运期</w:t>
            </w:r>
            <w:r>
              <w:rPr>
                <w:color w:val="auto"/>
                <w:sz w:val="24"/>
              </w:rPr>
              <w:t>厂界噪声执行《工业企业厂界环境噪声排放标准》（GB12348-2008）中</w:t>
            </w:r>
            <w:r>
              <w:rPr>
                <w:rFonts w:hint="eastAsia"/>
                <w:color w:val="auto"/>
                <w:sz w:val="24"/>
              </w:rPr>
              <w:t>2</w:t>
            </w:r>
            <w:r>
              <w:rPr>
                <w:color w:val="auto"/>
                <w:sz w:val="24"/>
              </w:rPr>
              <w:t>类标准。</w:t>
            </w:r>
          </w:p>
          <w:p>
            <w:pPr>
              <w:pStyle w:val="35"/>
              <w:snapToGrid/>
              <w:ind w:firstLine="0" w:firstLineChars="0"/>
              <w:contextualSpacing/>
              <w:jc w:val="center"/>
              <w:rPr>
                <w:b/>
                <w:color w:val="auto"/>
                <w:sz w:val="24"/>
              </w:rPr>
            </w:pPr>
            <w:r>
              <w:rPr>
                <w:b/>
                <w:color w:val="auto"/>
                <w:sz w:val="24"/>
              </w:rPr>
              <w:t>表3-</w:t>
            </w:r>
            <w:r>
              <w:rPr>
                <w:rFonts w:hint="eastAsia"/>
                <w:b/>
                <w:color w:val="auto"/>
                <w:sz w:val="24"/>
              </w:rPr>
              <w:t xml:space="preserve">6 </w:t>
            </w:r>
            <w:r>
              <w:rPr>
                <w:b/>
                <w:color w:val="auto"/>
                <w:sz w:val="24"/>
              </w:rPr>
              <w:t>营运期噪声排放标准</w:t>
            </w:r>
          </w:p>
          <w:tbl>
            <w:tblPr>
              <w:tblStyle w:val="15"/>
              <w:tblW w:w="7497" w:type="dxa"/>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56" w:type="dxa"/>
                <w:bottom w:w="0" w:type="dxa"/>
                <w:right w:w="56" w:type="dxa"/>
              </w:tblCellMar>
            </w:tblPr>
            <w:tblGrid>
              <w:gridCol w:w="2837"/>
              <w:gridCol w:w="2014"/>
              <w:gridCol w:w="2646"/>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56" w:type="dxa"/>
                  <w:bottom w:w="0" w:type="dxa"/>
                  <w:right w:w="56" w:type="dxa"/>
                </w:tblCellMar>
              </w:tblPrEx>
              <w:trPr>
                <w:cantSplit/>
                <w:trHeight w:val="285" w:hRule="exact"/>
                <w:jc w:val="center"/>
              </w:trPr>
              <w:tc>
                <w:tcPr>
                  <w:tcW w:w="1892" w:type="pct"/>
                  <w:noWrap w:val="0"/>
                  <w:vAlign w:val="top"/>
                </w:tcPr>
                <w:p>
                  <w:pPr>
                    <w:adjustRightInd w:val="0"/>
                    <w:snapToGrid w:val="0"/>
                    <w:jc w:val="center"/>
                    <w:rPr>
                      <w:color w:val="auto"/>
                      <w:szCs w:val="21"/>
                    </w:rPr>
                  </w:pPr>
                  <w:r>
                    <w:rPr>
                      <w:rFonts w:hint="eastAsia"/>
                      <w:color w:val="auto"/>
                      <w:szCs w:val="21"/>
                    </w:rPr>
                    <w:t>声功能区类别</w:t>
                  </w:r>
                </w:p>
              </w:tc>
              <w:tc>
                <w:tcPr>
                  <w:tcW w:w="1343" w:type="pct"/>
                  <w:noWrap w:val="0"/>
                  <w:vAlign w:val="center"/>
                </w:tcPr>
                <w:p>
                  <w:pPr>
                    <w:adjustRightInd w:val="0"/>
                    <w:snapToGrid w:val="0"/>
                    <w:jc w:val="center"/>
                    <w:rPr>
                      <w:color w:val="auto"/>
                      <w:szCs w:val="21"/>
                    </w:rPr>
                  </w:pPr>
                  <w:r>
                    <w:rPr>
                      <w:color w:val="auto"/>
                      <w:szCs w:val="21"/>
                    </w:rPr>
                    <w:t>昼间</w:t>
                  </w:r>
                </w:p>
              </w:tc>
              <w:tc>
                <w:tcPr>
                  <w:tcW w:w="1765" w:type="pct"/>
                  <w:noWrap w:val="0"/>
                  <w:vAlign w:val="center"/>
                </w:tcPr>
                <w:p>
                  <w:pPr>
                    <w:adjustRightInd w:val="0"/>
                    <w:snapToGrid w:val="0"/>
                    <w:jc w:val="center"/>
                    <w:rPr>
                      <w:color w:val="auto"/>
                      <w:szCs w:val="21"/>
                    </w:rPr>
                  </w:pPr>
                  <w:r>
                    <w:rPr>
                      <w:color w:val="auto"/>
                      <w:szCs w:val="21"/>
                    </w:rPr>
                    <w:t>夜间</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56" w:type="dxa"/>
                  <w:bottom w:w="0" w:type="dxa"/>
                  <w:right w:w="56" w:type="dxa"/>
                </w:tblCellMar>
              </w:tblPrEx>
              <w:trPr>
                <w:cantSplit/>
                <w:trHeight w:val="252" w:hRule="exact"/>
                <w:jc w:val="center"/>
              </w:trPr>
              <w:tc>
                <w:tcPr>
                  <w:tcW w:w="1892" w:type="pct"/>
                  <w:noWrap w:val="0"/>
                  <w:vAlign w:val="center"/>
                </w:tcPr>
                <w:p>
                  <w:pPr>
                    <w:adjustRightInd w:val="0"/>
                    <w:snapToGrid w:val="0"/>
                    <w:jc w:val="center"/>
                    <w:rPr>
                      <w:color w:val="auto"/>
                      <w:szCs w:val="21"/>
                    </w:rPr>
                  </w:pPr>
                  <w:r>
                    <w:rPr>
                      <w:rFonts w:hint="eastAsia"/>
                      <w:color w:val="auto"/>
                      <w:szCs w:val="21"/>
                    </w:rPr>
                    <w:t>2类</w:t>
                  </w:r>
                </w:p>
              </w:tc>
              <w:tc>
                <w:tcPr>
                  <w:tcW w:w="1343" w:type="pct"/>
                  <w:noWrap w:val="0"/>
                  <w:vAlign w:val="center"/>
                </w:tcPr>
                <w:p>
                  <w:pPr>
                    <w:adjustRightInd w:val="0"/>
                    <w:snapToGrid w:val="0"/>
                    <w:jc w:val="center"/>
                    <w:rPr>
                      <w:color w:val="auto"/>
                      <w:szCs w:val="21"/>
                    </w:rPr>
                  </w:pPr>
                  <w:r>
                    <w:rPr>
                      <w:rFonts w:hint="eastAsia"/>
                      <w:color w:val="auto"/>
                      <w:szCs w:val="21"/>
                    </w:rPr>
                    <w:t>60</w:t>
                  </w:r>
                  <w:r>
                    <w:rPr>
                      <w:color w:val="auto"/>
                      <w:szCs w:val="21"/>
                    </w:rPr>
                    <w:t>dB（A）</w:t>
                  </w:r>
                </w:p>
              </w:tc>
              <w:tc>
                <w:tcPr>
                  <w:tcW w:w="1765" w:type="pct"/>
                  <w:noWrap w:val="0"/>
                  <w:vAlign w:val="center"/>
                </w:tcPr>
                <w:p>
                  <w:pPr>
                    <w:adjustRightInd w:val="0"/>
                    <w:snapToGrid w:val="0"/>
                    <w:jc w:val="center"/>
                    <w:rPr>
                      <w:color w:val="auto"/>
                      <w:szCs w:val="21"/>
                    </w:rPr>
                  </w:pPr>
                  <w:r>
                    <w:rPr>
                      <w:rFonts w:hint="eastAsia"/>
                      <w:color w:val="auto"/>
                      <w:szCs w:val="21"/>
                    </w:rPr>
                    <w:t>50</w:t>
                  </w:r>
                  <w:r>
                    <w:rPr>
                      <w:color w:val="auto"/>
                      <w:szCs w:val="21"/>
                    </w:rPr>
                    <w:t>dB（A）</w:t>
                  </w:r>
                </w:p>
              </w:tc>
            </w:tr>
          </w:tbl>
          <w:p>
            <w:pPr>
              <w:spacing w:line="360" w:lineRule="auto"/>
              <w:ind w:firstLine="482" w:firstLineChars="200"/>
              <w:contextualSpacing/>
              <w:rPr>
                <w:b/>
                <w:bCs/>
                <w:color w:val="auto"/>
                <w:sz w:val="24"/>
              </w:rPr>
            </w:pPr>
            <w:r>
              <w:rPr>
                <w:rFonts w:hint="eastAsia"/>
                <w:b/>
                <w:bCs/>
                <w:color w:val="auto"/>
                <w:sz w:val="24"/>
              </w:rPr>
              <w:t>3</w:t>
            </w:r>
            <w:r>
              <w:rPr>
                <w:b/>
                <w:bCs/>
                <w:color w:val="auto"/>
                <w:sz w:val="24"/>
              </w:rPr>
              <w:t>、固体废物</w:t>
            </w:r>
          </w:p>
          <w:p>
            <w:pPr>
              <w:adjustRightInd w:val="0"/>
              <w:snapToGrid w:val="0"/>
              <w:spacing w:line="360" w:lineRule="auto"/>
              <w:ind w:firstLine="439" w:firstLineChars="183"/>
              <w:jc w:val="left"/>
              <w:rPr>
                <w:color w:val="auto"/>
                <w:sz w:val="24"/>
              </w:rPr>
            </w:pPr>
            <w:r>
              <w:rPr>
                <w:color w:val="auto"/>
                <w:sz w:val="24"/>
              </w:rPr>
              <w:t>《一般工业固体废物贮存和填埋污染控制标准》（GB18599-2020）、《固体废物分类与代码目录》（</w:t>
            </w:r>
            <w:r>
              <w:rPr>
                <w:rFonts w:hint="eastAsia"/>
                <w:color w:val="auto"/>
                <w:sz w:val="24"/>
              </w:rPr>
              <w:t>2024年第4号</w:t>
            </w:r>
            <w:r>
              <w:rPr>
                <w:color w:val="auto"/>
                <w:sz w:val="24"/>
              </w:rPr>
              <w:t>）。</w:t>
            </w:r>
          </w:p>
          <w:p>
            <w:pPr>
              <w:adjustRightInd w:val="0"/>
              <w:snapToGrid w:val="0"/>
              <w:spacing w:line="360" w:lineRule="auto"/>
              <w:jc w:val="left"/>
              <w:rPr>
                <w:rFonts w:hint="eastAsia"/>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65" w:hRule="atLeast"/>
          <w:jc w:val="center"/>
        </w:trPr>
        <w:tc>
          <w:tcPr>
            <w:tcW w:w="800" w:type="dxa"/>
            <w:noWrap w:val="0"/>
            <w:vAlign w:val="center"/>
          </w:tcPr>
          <w:p>
            <w:pPr>
              <w:adjustRightInd w:val="0"/>
              <w:snapToGrid w:val="0"/>
              <w:jc w:val="center"/>
              <w:rPr>
                <w:color w:val="auto"/>
                <w:kern w:val="0"/>
                <w:sz w:val="24"/>
              </w:rPr>
            </w:pPr>
            <w:r>
              <w:rPr>
                <w:color w:val="auto"/>
                <w:kern w:val="0"/>
                <w:sz w:val="24"/>
              </w:rPr>
              <w:t>总量</w:t>
            </w:r>
          </w:p>
          <w:p>
            <w:pPr>
              <w:adjustRightInd w:val="0"/>
              <w:snapToGrid w:val="0"/>
              <w:jc w:val="center"/>
              <w:rPr>
                <w:color w:val="auto"/>
                <w:kern w:val="0"/>
                <w:sz w:val="24"/>
              </w:rPr>
            </w:pPr>
            <w:r>
              <w:rPr>
                <w:color w:val="auto"/>
                <w:kern w:val="0"/>
                <w:sz w:val="24"/>
              </w:rPr>
              <w:t>控制</w:t>
            </w:r>
          </w:p>
          <w:p>
            <w:pPr>
              <w:adjustRightInd w:val="0"/>
              <w:snapToGrid w:val="0"/>
              <w:jc w:val="center"/>
              <w:rPr>
                <w:color w:val="auto"/>
                <w:kern w:val="0"/>
                <w:szCs w:val="21"/>
              </w:rPr>
            </w:pPr>
            <w:r>
              <w:rPr>
                <w:color w:val="auto"/>
                <w:kern w:val="0"/>
                <w:sz w:val="24"/>
              </w:rPr>
              <w:t>指标</w:t>
            </w:r>
          </w:p>
        </w:tc>
        <w:tc>
          <w:tcPr>
            <w:tcW w:w="8190" w:type="dxa"/>
            <w:noWrap w:val="0"/>
            <w:vAlign w:val="top"/>
          </w:tcPr>
          <w:p>
            <w:pPr>
              <w:tabs>
                <w:tab w:val="left" w:pos="1777"/>
              </w:tabs>
              <w:spacing w:line="360" w:lineRule="auto"/>
              <w:ind w:firstLine="480" w:firstLineChars="200"/>
              <w:rPr>
                <w:rFonts w:hint="eastAsia"/>
                <w:color w:val="auto"/>
                <w:sz w:val="24"/>
              </w:rPr>
            </w:pPr>
            <w:r>
              <w:rPr>
                <w:color w:val="auto"/>
                <w:sz w:val="24"/>
              </w:rPr>
              <w:t>根据国家关于污染物排放实施总量控制的规定，并结合本项目污染源及污染物排放特征，确定本项目需要实施总量控制的污染因子为：颗粒物，SO</w:t>
            </w:r>
            <w:r>
              <w:rPr>
                <w:color w:val="auto"/>
                <w:sz w:val="24"/>
                <w:vertAlign w:val="subscript"/>
              </w:rPr>
              <w:t>2</w:t>
            </w:r>
            <w:r>
              <w:rPr>
                <w:color w:val="auto"/>
                <w:sz w:val="24"/>
              </w:rPr>
              <w:t>，NO</w:t>
            </w:r>
            <w:r>
              <w:rPr>
                <w:color w:val="auto"/>
                <w:sz w:val="24"/>
                <w:vertAlign w:val="subscript"/>
              </w:rPr>
              <w:t>X</w:t>
            </w:r>
            <w:r>
              <w:rPr>
                <w:rFonts w:hint="eastAsia"/>
                <w:color w:val="auto"/>
                <w:sz w:val="24"/>
              </w:rPr>
              <w:t>。</w:t>
            </w:r>
          </w:p>
          <w:p>
            <w:pPr>
              <w:pStyle w:val="35"/>
              <w:snapToGrid/>
              <w:ind w:firstLine="0" w:firstLineChars="0"/>
              <w:contextualSpacing/>
              <w:jc w:val="center"/>
              <w:rPr>
                <w:b/>
                <w:color w:val="auto"/>
                <w:sz w:val="24"/>
              </w:rPr>
            </w:pPr>
            <w:r>
              <w:rPr>
                <w:b/>
                <w:color w:val="auto"/>
                <w:sz w:val="24"/>
              </w:rPr>
              <w:t>表3-</w:t>
            </w:r>
            <w:r>
              <w:rPr>
                <w:rFonts w:hint="eastAsia"/>
                <w:b/>
                <w:color w:val="auto"/>
                <w:sz w:val="24"/>
              </w:rPr>
              <w:t xml:space="preserve">7 </w:t>
            </w:r>
            <w:r>
              <w:rPr>
                <w:b/>
                <w:color w:val="auto"/>
                <w:sz w:val="24"/>
              </w:rPr>
              <w:t>本项目总量控制表 （t/a）</w:t>
            </w:r>
          </w:p>
          <w:tbl>
            <w:tblPr>
              <w:tblStyle w:val="15"/>
              <w:tblW w:w="47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435"/>
              <w:gridCol w:w="2478"/>
              <w:gridCol w:w="258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624" w:type="pct"/>
                  <w:tcBorders>
                    <w:top w:val="single" w:color="000000" w:sz="12" w:space="0"/>
                  </w:tcBorders>
                  <w:noWrap w:val="0"/>
                  <w:vAlign w:val="center"/>
                </w:tcPr>
                <w:p>
                  <w:pPr>
                    <w:adjustRightInd w:val="0"/>
                    <w:snapToGrid w:val="0"/>
                    <w:jc w:val="center"/>
                    <w:rPr>
                      <w:color w:val="auto"/>
                      <w:szCs w:val="21"/>
                    </w:rPr>
                  </w:pPr>
                  <w:r>
                    <w:rPr>
                      <w:color w:val="auto"/>
                      <w:szCs w:val="21"/>
                    </w:rPr>
                    <w:t>名称</w:t>
                  </w:r>
                </w:p>
              </w:tc>
              <w:tc>
                <w:tcPr>
                  <w:tcW w:w="1653" w:type="pct"/>
                  <w:tcBorders>
                    <w:top w:val="single" w:color="000000" w:sz="12" w:space="0"/>
                  </w:tcBorders>
                  <w:noWrap w:val="0"/>
                  <w:vAlign w:val="center"/>
                </w:tcPr>
                <w:p>
                  <w:pPr>
                    <w:adjustRightInd w:val="0"/>
                    <w:snapToGrid w:val="0"/>
                    <w:jc w:val="center"/>
                    <w:rPr>
                      <w:color w:val="auto"/>
                      <w:szCs w:val="21"/>
                    </w:rPr>
                  </w:pPr>
                  <w:r>
                    <w:rPr>
                      <w:color w:val="auto"/>
                      <w:szCs w:val="21"/>
                    </w:rPr>
                    <w:t>预测排放量</w:t>
                  </w:r>
                </w:p>
              </w:tc>
              <w:tc>
                <w:tcPr>
                  <w:tcW w:w="1723" w:type="pct"/>
                  <w:noWrap w:val="0"/>
                  <w:vAlign w:val="center"/>
                </w:tcPr>
                <w:p>
                  <w:pPr>
                    <w:adjustRightInd w:val="0"/>
                    <w:snapToGrid w:val="0"/>
                    <w:jc w:val="center"/>
                    <w:rPr>
                      <w:color w:val="auto"/>
                      <w:szCs w:val="21"/>
                    </w:rPr>
                  </w:pPr>
                  <w:r>
                    <w:rPr>
                      <w:color w:val="auto"/>
                      <w:szCs w:val="21"/>
                    </w:rPr>
                    <w:t>核定排放量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624" w:type="pct"/>
                  <w:noWrap w:val="0"/>
                  <w:vAlign w:val="center"/>
                </w:tcPr>
                <w:p>
                  <w:pPr>
                    <w:adjustRightInd w:val="0"/>
                    <w:snapToGrid w:val="0"/>
                    <w:jc w:val="center"/>
                    <w:rPr>
                      <w:color w:val="auto"/>
                      <w:szCs w:val="21"/>
                    </w:rPr>
                  </w:pPr>
                  <w:r>
                    <w:rPr>
                      <w:color w:val="auto"/>
                      <w:szCs w:val="21"/>
                    </w:rPr>
                    <w:t>颗粒物</w:t>
                  </w:r>
                </w:p>
              </w:tc>
              <w:tc>
                <w:tcPr>
                  <w:tcW w:w="1653" w:type="pct"/>
                  <w:noWrap w:val="0"/>
                  <w:vAlign w:val="center"/>
                </w:tcPr>
                <w:p>
                  <w:pPr>
                    <w:adjustRightInd w:val="0"/>
                    <w:snapToGrid w:val="0"/>
                    <w:jc w:val="center"/>
                    <w:rPr>
                      <w:color w:val="auto"/>
                      <w:szCs w:val="21"/>
                      <w:highlight w:val="yellow"/>
                    </w:rPr>
                  </w:pPr>
                  <w:r>
                    <w:rPr>
                      <w:rFonts w:hint="eastAsia"/>
                      <w:color w:val="auto"/>
                      <w:szCs w:val="21"/>
                    </w:rPr>
                    <w:t>2.45</w:t>
                  </w:r>
                </w:p>
              </w:tc>
              <w:tc>
                <w:tcPr>
                  <w:tcW w:w="1723" w:type="pct"/>
                  <w:noWrap w:val="0"/>
                  <w:vAlign w:val="center"/>
                </w:tcPr>
                <w:p>
                  <w:pPr>
                    <w:adjustRightInd w:val="0"/>
                    <w:snapToGrid w:val="0"/>
                    <w:jc w:val="center"/>
                    <w:rPr>
                      <w:color w:val="auto"/>
                      <w:szCs w:val="21"/>
                    </w:rPr>
                  </w:pPr>
                  <w:r>
                    <w:rPr>
                      <w:rFonts w:hint="eastAsia"/>
                      <w:color w:val="auto"/>
                      <w:szCs w:val="21"/>
                    </w:rPr>
                    <w:t>3.04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4" w:type="pct"/>
                  <w:noWrap w:val="0"/>
                  <w:vAlign w:val="center"/>
                </w:tcPr>
                <w:p>
                  <w:pPr>
                    <w:adjustRightInd w:val="0"/>
                    <w:snapToGrid w:val="0"/>
                    <w:jc w:val="center"/>
                    <w:rPr>
                      <w:color w:val="auto"/>
                      <w:szCs w:val="21"/>
                    </w:rPr>
                  </w:pPr>
                  <w:r>
                    <w:rPr>
                      <w:color w:val="auto"/>
                      <w:szCs w:val="21"/>
                    </w:rPr>
                    <w:t>SO</w:t>
                  </w:r>
                  <w:r>
                    <w:rPr>
                      <w:color w:val="auto"/>
                      <w:szCs w:val="21"/>
                      <w:vertAlign w:val="subscript"/>
                    </w:rPr>
                    <w:t>2</w:t>
                  </w:r>
                </w:p>
              </w:tc>
              <w:tc>
                <w:tcPr>
                  <w:tcW w:w="1653" w:type="pct"/>
                  <w:noWrap w:val="0"/>
                  <w:vAlign w:val="center"/>
                </w:tcPr>
                <w:p>
                  <w:pPr>
                    <w:adjustRightInd w:val="0"/>
                    <w:snapToGrid w:val="0"/>
                    <w:jc w:val="center"/>
                    <w:rPr>
                      <w:color w:val="auto"/>
                      <w:szCs w:val="21"/>
                    </w:rPr>
                  </w:pPr>
                  <w:r>
                    <w:rPr>
                      <w:rFonts w:hint="eastAsia"/>
                      <w:color w:val="auto"/>
                      <w:szCs w:val="21"/>
                    </w:rPr>
                    <w:t>2.38</w:t>
                  </w:r>
                </w:p>
              </w:tc>
              <w:tc>
                <w:tcPr>
                  <w:tcW w:w="1723" w:type="pct"/>
                  <w:noWrap w:val="0"/>
                  <w:vAlign w:val="center"/>
                </w:tcPr>
                <w:p>
                  <w:pPr>
                    <w:adjustRightInd w:val="0"/>
                    <w:snapToGrid w:val="0"/>
                    <w:jc w:val="center"/>
                    <w:rPr>
                      <w:color w:val="auto"/>
                      <w:szCs w:val="21"/>
                    </w:rPr>
                  </w:pPr>
                  <w:r>
                    <w:rPr>
                      <w:rFonts w:hint="eastAsia"/>
                      <w:color w:val="auto"/>
                      <w:szCs w:val="21"/>
                    </w:rPr>
                    <w:t>6.56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624" w:type="pct"/>
                  <w:noWrap w:val="0"/>
                  <w:vAlign w:val="center"/>
                </w:tcPr>
                <w:p>
                  <w:pPr>
                    <w:adjustRightInd w:val="0"/>
                    <w:snapToGrid w:val="0"/>
                    <w:jc w:val="center"/>
                    <w:rPr>
                      <w:color w:val="auto"/>
                      <w:szCs w:val="21"/>
                    </w:rPr>
                  </w:pPr>
                  <w:r>
                    <w:rPr>
                      <w:color w:val="auto"/>
                      <w:szCs w:val="21"/>
                    </w:rPr>
                    <w:t>NO</w:t>
                  </w:r>
                  <w:r>
                    <w:rPr>
                      <w:color w:val="auto"/>
                      <w:szCs w:val="21"/>
                      <w:vertAlign w:val="subscript"/>
                    </w:rPr>
                    <w:t>X</w:t>
                  </w:r>
                </w:p>
              </w:tc>
              <w:tc>
                <w:tcPr>
                  <w:tcW w:w="1653" w:type="pct"/>
                  <w:noWrap w:val="0"/>
                  <w:vAlign w:val="center"/>
                </w:tcPr>
                <w:p>
                  <w:pPr>
                    <w:adjustRightInd w:val="0"/>
                    <w:snapToGrid w:val="0"/>
                    <w:jc w:val="center"/>
                    <w:rPr>
                      <w:color w:val="auto"/>
                      <w:szCs w:val="21"/>
                    </w:rPr>
                  </w:pPr>
                  <w:r>
                    <w:rPr>
                      <w:rFonts w:hint="eastAsia"/>
                      <w:color w:val="auto"/>
                      <w:szCs w:val="21"/>
                    </w:rPr>
                    <w:t>3.92</w:t>
                  </w:r>
                </w:p>
              </w:tc>
              <w:tc>
                <w:tcPr>
                  <w:tcW w:w="1723" w:type="pct"/>
                  <w:noWrap w:val="0"/>
                  <w:vAlign w:val="center"/>
                </w:tcPr>
                <w:p>
                  <w:pPr>
                    <w:adjustRightInd w:val="0"/>
                    <w:snapToGrid w:val="0"/>
                    <w:jc w:val="center"/>
                    <w:rPr>
                      <w:color w:val="auto"/>
                      <w:szCs w:val="21"/>
                    </w:rPr>
                  </w:pPr>
                  <w:r>
                    <w:rPr>
                      <w:rFonts w:hint="eastAsia"/>
                      <w:color w:val="auto"/>
                      <w:szCs w:val="21"/>
                    </w:rPr>
                    <w:t>8.2</w:t>
                  </w:r>
                </w:p>
              </w:tc>
            </w:tr>
          </w:tbl>
          <w:p>
            <w:pPr>
              <w:pStyle w:val="14"/>
              <w:ind w:left="0" w:leftChars="0" w:firstLine="0" w:firstLineChars="0"/>
              <w:rPr>
                <w:color w:val="auto"/>
                <w:lang w:val="en-US" w:eastAsia="zh-CN"/>
              </w:rPr>
            </w:pPr>
          </w:p>
          <w:p>
            <w:pPr>
              <w:pStyle w:val="14"/>
              <w:ind w:left="0" w:leftChars="0" w:firstLine="0" w:firstLineChars="0"/>
              <w:rPr>
                <w:color w:val="auto"/>
                <w:lang w:val="en-US" w:eastAsia="zh-CN"/>
              </w:rPr>
            </w:pPr>
          </w:p>
          <w:p>
            <w:pPr>
              <w:pStyle w:val="14"/>
              <w:ind w:left="0" w:leftChars="0" w:firstLine="0" w:firstLineChars="0"/>
              <w:rPr>
                <w:rFonts w:hint="eastAsia"/>
                <w:color w:val="auto"/>
                <w:lang w:val="en-US" w:eastAsia="zh-CN"/>
              </w:rPr>
            </w:pPr>
          </w:p>
          <w:p>
            <w:pPr>
              <w:pStyle w:val="14"/>
              <w:ind w:left="0" w:leftChars="0" w:firstLine="0" w:firstLineChars="0"/>
              <w:rPr>
                <w:rFonts w:hint="eastAsia"/>
                <w:color w:val="auto"/>
                <w:lang w:val="en-US" w:eastAsia="zh-CN"/>
              </w:rPr>
            </w:pPr>
          </w:p>
          <w:p>
            <w:pPr>
              <w:pStyle w:val="14"/>
              <w:ind w:left="0" w:leftChars="0" w:firstLine="0" w:firstLineChars="0"/>
              <w:rPr>
                <w:rFonts w:hint="eastAsia"/>
                <w:color w:val="auto"/>
                <w:lang w:val="en-US" w:eastAsia="zh-CN"/>
              </w:rPr>
            </w:pPr>
          </w:p>
          <w:p>
            <w:pPr>
              <w:pStyle w:val="14"/>
              <w:ind w:left="0" w:leftChars="0" w:firstLine="0" w:firstLineChars="0"/>
              <w:rPr>
                <w:rFonts w:hint="eastAsia"/>
                <w:color w:val="auto"/>
                <w:lang w:val="en-US" w:eastAsia="zh-CN"/>
              </w:rPr>
            </w:pPr>
          </w:p>
          <w:p>
            <w:pPr>
              <w:pStyle w:val="14"/>
              <w:ind w:left="0" w:leftChars="0" w:firstLine="0" w:firstLineChars="0"/>
              <w:rPr>
                <w:rFonts w:hint="eastAsia"/>
                <w:color w:val="auto"/>
                <w:lang w:val="en-US" w:eastAsia="zh-CN"/>
              </w:rPr>
            </w:pPr>
          </w:p>
          <w:p>
            <w:pPr>
              <w:pStyle w:val="14"/>
              <w:ind w:left="0" w:leftChars="0" w:firstLine="0" w:firstLineChars="0"/>
              <w:rPr>
                <w:rFonts w:hint="eastAsia"/>
                <w:color w:val="auto"/>
                <w:lang w:val="en-US" w:eastAsia="zh-CN"/>
              </w:rPr>
            </w:pPr>
          </w:p>
          <w:p>
            <w:pPr>
              <w:pStyle w:val="14"/>
              <w:ind w:left="0" w:leftChars="0" w:firstLine="0" w:firstLineChars="0"/>
              <w:rPr>
                <w:rFonts w:hint="eastAsia"/>
                <w:color w:val="auto"/>
                <w:lang w:val="en-US" w:eastAsia="zh-CN"/>
              </w:rPr>
            </w:pPr>
          </w:p>
          <w:p>
            <w:pPr>
              <w:pStyle w:val="14"/>
              <w:ind w:left="0" w:leftChars="0" w:firstLine="0" w:firstLineChars="0"/>
              <w:rPr>
                <w:rFonts w:hint="eastAsia"/>
                <w:color w:val="auto"/>
                <w:lang w:val="en-US" w:eastAsia="zh-CN"/>
              </w:rPr>
            </w:pPr>
          </w:p>
          <w:p>
            <w:pPr>
              <w:pStyle w:val="14"/>
              <w:ind w:left="0" w:leftChars="0" w:firstLine="0" w:firstLineChars="0"/>
              <w:rPr>
                <w:rFonts w:hint="eastAsia"/>
                <w:color w:val="auto"/>
                <w:lang w:val="en-US" w:eastAsia="zh-CN"/>
              </w:rPr>
            </w:pPr>
          </w:p>
          <w:p>
            <w:pPr>
              <w:pStyle w:val="14"/>
              <w:ind w:left="0" w:leftChars="0" w:firstLine="0" w:firstLineChars="0"/>
              <w:rPr>
                <w:rFonts w:hint="eastAsia"/>
                <w:color w:val="auto"/>
                <w:lang w:val="en-US" w:eastAsia="zh-CN"/>
              </w:rPr>
            </w:pPr>
          </w:p>
          <w:p>
            <w:pPr>
              <w:pStyle w:val="14"/>
              <w:ind w:left="0" w:leftChars="0" w:firstLine="0" w:firstLineChars="0"/>
              <w:rPr>
                <w:rFonts w:hint="eastAsia"/>
                <w:color w:val="auto"/>
                <w:lang w:val="en-US" w:eastAsia="zh-CN"/>
              </w:rPr>
            </w:pPr>
          </w:p>
          <w:p>
            <w:pPr>
              <w:pStyle w:val="14"/>
              <w:ind w:left="0" w:leftChars="0" w:firstLine="0" w:firstLineChars="0"/>
              <w:rPr>
                <w:rFonts w:hint="eastAsia"/>
                <w:color w:val="auto"/>
                <w:lang w:val="en-US" w:eastAsia="zh-CN"/>
              </w:rPr>
            </w:pPr>
          </w:p>
          <w:p>
            <w:pPr>
              <w:pStyle w:val="14"/>
              <w:ind w:left="0" w:leftChars="0" w:firstLine="0" w:firstLineChars="0"/>
              <w:rPr>
                <w:rFonts w:hint="eastAsia"/>
                <w:color w:val="auto"/>
                <w:lang w:val="en-US" w:eastAsia="zh-CN"/>
              </w:rPr>
            </w:pPr>
          </w:p>
          <w:p>
            <w:pPr>
              <w:pStyle w:val="14"/>
              <w:ind w:left="0" w:leftChars="0" w:firstLine="0" w:firstLineChars="0"/>
              <w:rPr>
                <w:rFonts w:hint="eastAsia"/>
                <w:color w:val="auto"/>
                <w:lang w:val="en-US" w:eastAsia="zh-CN"/>
              </w:rPr>
            </w:pPr>
          </w:p>
          <w:p>
            <w:pPr>
              <w:pStyle w:val="14"/>
              <w:ind w:left="0" w:leftChars="0" w:firstLine="0" w:firstLineChars="0"/>
              <w:rPr>
                <w:rFonts w:hint="eastAsia"/>
                <w:color w:val="auto"/>
                <w:lang w:val="en-US" w:eastAsia="zh-CN"/>
              </w:rPr>
            </w:pPr>
          </w:p>
          <w:p>
            <w:pPr>
              <w:pStyle w:val="14"/>
              <w:ind w:left="0" w:leftChars="0" w:firstLine="0" w:firstLineChars="0"/>
              <w:rPr>
                <w:rFonts w:hint="eastAsia"/>
                <w:color w:val="auto"/>
                <w:lang w:val="en-US" w:eastAsia="zh-CN"/>
              </w:rPr>
            </w:pPr>
          </w:p>
          <w:p>
            <w:pPr>
              <w:pStyle w:val="14"/>
              <w:ind w:left="0" w:leftChars="0" w:firstLine="0" w:firstLineChars="0"/>
              <w:rPr>
                <w:rFonts w:hint="eastAsia"/>
                <w:color w:val="auto"/>
                <w:lang w:val="en-US" w:eastAsia="zh-CN"/>
              </w:rPr>
            </w:pPr>
          </w:p>
          <w:p>
            <w:pPr>
              <w:pStyle w:val="14"/>
              <w:ind w:left="0" w:leftChars="0" w:firstLine="0" w:firstLineChars="0"/>
              <w:rPr>
                <w:rFonts w:hint="eastAsia"/>
                <w:color w:val="auto"/>
                <w:lang w:val="en-US" w:eastAsia="zh-CN"/>
              </w:rPr>
            </w:pPr>
          </w:p>
          <w:p>
            <w:pPr>
              <w:pStyle w:val="14"/>
              <w:ind w:left="0" w:leftChars="0" w:firstLine="0" w:firstLineChars="0"/>
              <w:rPr>
                <w:rFonts w:hint="eastAsia"/>
                <w:color w:val="auto"/>
                <w:lang w:val="en-US" w:eastAsia="zh-CN"/>
              </w:rPr>
            </w:pPr>
          </w:p>
          <w:p>
            <w:pPr>
              <w:pStyle w:val="14"/>
              <w:ind w:left="0" w:leftChars="0" w:firstLine="0" w:firstLineChars="0"/>
              <w:rPr>
                <w:rFonts w:hint="eastAsia"/>
                <w:color w:val="auto"/>
                <w:lang w:val="en-US" w:eastAsia="zh-CN"/>
              </w:rPr>
            </w:pPr>
          </w:p>
          <w:p>
            <w:pPr>
              <w:pStyle w:val="14"/>
              <w:ind w:left="0" w:leftChars="0" w:firstLine="0" w:firstLineChars="0"/>
              <w:rPr>
                <w:rFonts w:hint="eastAsia"/>
                <w:color w:val="auto"/>
                <w:lang w:val="en-US" w:eastAsia="zh-CN"/>
              </w:rPr>
            </w:pPr>
          </w:p>
          <w:p>
            <w:pPr>
              <w:pStyle w:val="14"/>
              <w:ind w:left="0" w:leftChars="0" w:firstLine="0" w:firstLineChars="0"/>
              <w:rPr>
                <w:rFonts w:hint="eastAsia"/>
                <w:color w:val="auto"/>
                <w:lang w:val="en-US" w:eastAsia="zh-CN"/>
              </w:rPr>
            </w:pPr>
          </w:p>
          <w:p>
            <w:pPr>
              <w:pStyle w:val="14"/>
              <w:ind w:left="0" w:leftChars="0" w:firstLine="0" w:firstLineChars="0"/>
              <w:rPr>
                <w:color w:val="auto"/>
                <w:lang w:val="en-US" w:eastAsia="zh-CN"/>
              </w:rPr>
            </w:pPr>
          </w:p>
          <w:p>
            <w:pPr>
              <w:pStyle w:val="14"/>
              <w:ind w:left="0" w:leftChars="0" w:firstLine="0" w:firstLineChars="0"/>
              <w:rPr>
                <w:color w:val="auto"/>
                <w:lang w:val="en-US" w:eastAsia="zh-CN"/>
              </w:rPr>
            </w:pPr>
          </w:p>
          <w:p>
            <w:pPr>
              <w:pStyle w:val="14"/>
              <w:ind w:left="0" w:leftChars="0" w:firstLine="0" w:firstLineChars="0"/>
              <w:rPr>
                <w:rFonts w:hint="eastAsia"/>
                <w:color w:val="auto"/>
                <w:lang w:val="en-US" w:eastAsia="zh-CN"/>
              </w:rPr>
            </w:pPr>
          </w:p>
        </w:tc>
      </w:tr>
    </w:tbl>
    <w:p>
      <w:pPr>
        <w:pStyle w:val="12"/>
        <w:jc w:val="center"/>
        <w:outlineLvl w:val="0"/>
        <w:rPr>
          <w:rFonts w:ascii="Times New Roman" w:hAnsi="Times New Roman"/>
          <w:snapToGrid w:val="0"/>
          <w:color w:val="auto"/>
          <w:sz w:val="30"/>
          <w:szCs w:val="30"/>
        </w:rPr>
      </w:pPr>
      <w:r>
        <w:rPr>
          <w:rFonts w:ascii="Times New Roman" w:hAnsi="Times New Roman"/>
          <w:snapToGrid w:val="0"/>
          <w:color w:val="auto"/>
          <w:sz w:val="36"/>
          <w:szCs w:val="36"/>
        </w:rPr>
        <w:br w:type="page"/>
      </w:r>
      <w:bookmarkEnd w:id="10"/>
      <w:bookmarkStart w:id="11" w:name="_Toc152227243"/>
      <w:bookmarkStart w:id="12" w:name="_Hlk150957636"/>
      <w:r>
        <w:rPr>
          <w:rFonts w:ascii="Times New Roman" w:hAnsi="Times New Roman"/>
          <w:snapToGrid w:val="0"/>
          <w:color w:val="auto"/>
          <w:sz w:val="30"/>
          <w:szCs w:val="30"/>
        </w:rPr>
        <w:t>四、主要环境影响和保护措施</w:t>
      </w:r>
      <w:bookmarkEnd w:id="11"/>
    </w:p>
    <w:tbl>
      <w:tblPr>
        <w:tblStyle w:val="15"/>
        <w:tblW w:w="889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2"/>
        <w:gridCol w:w="81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52" w:type="dxa"/>
            <w:noWrap w:val="0"/>
            <w:tcMar>
              <w:left w:w="28" w:type="dxa"/>
              <w:right w:w="28" w:type="dxa"/>
            </w:tcMar>
            <w:vAlign w:val="center"/>
          </w:tcPr>
          <w:p>
            <w:pPr>
              <w:pStyle w:val="12"/>
              <w:adjustRightInd w:val="0"/>
              <w:snapToGrid w:val="0"/>
              <w:spacing w:before="0" w:beforeAutospacing="0" w:after="0" w:afterAutospacing="0"/>
              <w:jc w:val="center"/>
              <w:rPr>
                <w:rFonts w:ascii="Times New Roman" w:hAnsi="Times New Roman"/>
                <w:color w:val="auto"/>
                <w:kern w:val="2"/>
                <w:szCs w:val="24"/>
                <w:lang w:val="en-US" w:eastAsia="zh-CN"/>
              </w:rPr>
            </w:pPr>
            <w:bookmarkStart w:id="13" w:name="_Hlk150958291"/>
            <w:r>
              <w:rPr>
                <w:rFonts w:ascii="Times New Roman" w:hAnsi="Times New Roman"/>
                <w:color w:val="auto"/>
                <w:kern w:val="2"/>
                <w:szCs w:val="24"/>
                <w:lang w:val="en-US" w:eastAsia="zh-CN"/>
              </w:rPr>
              <w:t>施工</w:t>
            </w:r>
          </w:p>
          <w:p>
            <w:pPr>
              <w:pStyle w:val="12"/>
              <w:adjustRightInd w:val="0"/>
              <w:snapToGrid w:val="0"/>
              <w:spacing w:before="0" w:beforeAutospacing="0" w:after="0" w:afterAutospacing="0"/>
              <w:jc w:val="center"/>
              <w:rPr>
                <w:rFonts w:ascii="Times New Roman" w:hAnsi="Times New Roman"/>
                <w:color w:val="auto"/>
                <w:kern w:val="2"/>
                <w:szCs w:val="24"/>
                <w:lang w:val="en-US" w:eastAsia="zh-CN"/>
              </w:rPr>
            </w:pPr>
            <w:r>
              <w:rPr>
                <w:rFonts w:ascii="Times New Roman" w:hAnsi="Times New Roman"/>
                <w:color w:val="auto"/>
                <w:kern w:val="2"/>
                <w:szCs w:val="24"/>
                <w:lang w:val="en-US" w:eastAsia="zh-CN"/>
              </w:rPr>
              <w:t>期环</w:t>
            </w:r>
          </w:p>
          <w:p>
            <w:pPr>
              <w:pStyle w:val="12"/>
              <w:adjustRightInd w:val="0"/>
              <w:snapToGrid w:val="0"/>
              <w:spacing w:before="0" w:beforeAutospacing="0" w:after="0" w:afterAutospacing="0"/>
              <w:jc w:val="center"/>
              <w:rPr>
                <w:rFonts w:ascii="Times New Roman" w:hAnsi="Times New Roman"/>
                <w:color w:val="auto"/>
                <w:kern w:val="2"/>
                <w:szCs w:val="24"/>
                <w:lang w:val="en-US" w:eastAsia="zh-CN"/>
              </w:rPr>
            </w:pPr>
            <w:r>
              <w:rPr>
                <w:rFonts w:ascii="Times New Roman" w:hAnsi="Times New Roman"/>
                <w:color w:val="auto"/>
                <w:kern w:val="2"/>
                <w:szCs w:val="24"/>
                <w:lang w:val="en-US" w:eastAsia="zh-CN"/>
              </w:rPr>
              <w:t>境保</w:t>
            </w:r>
          </w:p>
          <w:p>
            <w:pPr>
              <w:pStyle w:val="12"/>
              <w:adjustRightInd w:val="0"/>
              <w:snapToGrid w:val="0"/>
              <w:spacing w:before="0" w:beforeAutospacing="0" w:after="0" w:afterAutospacing="0"/>
              <w:jc w:val="center"/>
              <w:rPr>
                <w:rFonts w:ascii="Times New Roman" w:hAnsi="Times New Roman"/>
                <w:color w:val="auto"/>
                <w:kern w:val="2"/>
                <w:szCs w:val="24"/>
                <w:lang w:val="en-US" w:eastAsia="zh-CN"/>
              </w:rPr>
            </w:pPr>
            <w:r>
              <w:rPr>
                <w:rFonts w:ascii="Times New Roman" w:hAnsi="Times New Roman"/>
                <w:color w:val="auto"/>
                <w:kern w:val="2"/>
                <w:szCs w:val="24"/>
                <w:lang w:val="en-US" w:eastAsia="zh-CN"/>
              </w:rPr>
              <w:t>护措</w:t>
            </w:r>
          </w:p>
          <w:p>
            <w:pPr>
              <w:pStyle w:val="12"/>
              <w:adjustRightInd w:val="0"/>
              <w:snapToGrid w:val="0"/>
              <w:spacing w:before="0" w:beforeAutospacing="0" w:after="0" w:afterAutospacing="0"/>
              <w:jc w:val="center"/>
              <w:rPr>
                <w:rFonts w:ascii="Times New Roman" w:hAnsi="Times New Roman"/>
                <w:bCs/>
                <w:color w:val="auto"/>
                <w:kern w:val="2"/>
                <w:szCs w:val="24"/>
                <w:lang w:val="en-US" w:eastAsia="zh-CN"/>
              </w:rPr>
            </w:pPr>
            <w:r>
              <w:rPr>
                <w:rFonts w:ascii="Times New Roman" w:hAnsi="Times New Roman"/>
                <w:color w:val="auto"/>
                <w:kern w:val="2"/>
                <w:szCs w:val="24"/>
                <w:lang w:val="en-US" w:eastAsia="zh-CN"/>
              </w:rPr>
              <w:t>施</w:t>
            </w:r>
          </w:p>
        </w:tc>
        <w:tc>
          <w:tcPr>
            <w:tcW w:w="8139" w:type="dxa"/>
            <w:noWrap w:val="0"/>
            <w:vAlign w:val="top"/>
          </w:tcPr>
          <w:p>
            <w:pPr>
              <w:widowControl/>
              <w:spacing w:line="360" w:lineRule="auto"/>
              <w:rPr>
                <w:color w:val="auto"/>
                <w:kern w:val="0"/>
                <w:sz w:val="24"/>
              </w:rPr>
            </w:pPr>
            <w:r>
              <w:rPr>
                <w:b/>
                <w:bCs/>
                <w:color w:val="auto"/>
                <w:kern w:val="0"/>
                <w:sz w:val="24"/>
              </w:rPr>
              <w:t xml:space="preserve">施工期环境影响分析： </w:t>
            </w:r>
          </w:p>
          <w:p>
            <w:pPr>
              <w:spacing w:line="360" w:lineRule="auto"/>
              <w:ind w:firstLine="480" w:firstLineChars="200"/>
              <w:contextualSpacing/>
              <w:rPr>
                <w:rFonts w:hint="eastAsia"/>
                <w:bCs/>
                <w:color w:val="auto"/>
                <w:kern w:val="0"/>
                <w:sz w:val="24"/>
              </w:rPr>
            </w:pPr>
            <w:r>
              <w:rPr>
                <w:color w:val="auto"/>
                <w:kern w:val="0"/>
                <w:sz w:val="24"/>
              </w:rPr>
              <w:t>本项目</w:t>
            </w:r>
            <w:r>
              <w:rPr>
                <w:rFonts w:hint="eastAsia"/>
                <w:color w:val="auto"/>
                <w:kern w:val="0"/>
                <w:sz w:val="24"/>
              </w:rPr>
              <w:t>施工期为</w:t>
            </w:r>
            <w:r>
              <w:rPr>
                <w:rFonts w:hint="eastAsia" w:hAnsi="宋体"/>
                <w:color w:val="auto"/>
                <w:sz w:val="24"/>
              </w:rPr>
              <w:t>1台7MW热水</w:t>
            </w:r>
            <w:r>
              <w:rPr>
                <w:rFonts w:hAnsi="宋体"/>
                <w:color w:val="auto"/>
                <w:sz w:val="24"/>
              </w:rPr>
              <w:t>锅炉设置布袋除尘器</w:t>
            </w:r>
            <w:r>
              <w:rPr>
                <w:rFonts w:hint="eastAsia"/>
                <w:color w:val="auto"/>
                <w:kern w:val="0"/>
                <w:sz w:val="24"/>
              </w:rPr>
              <w:t>，施工期</w:t>
            </w:r>
            <w:r>
              <w:rPr>
                <w:bCs/>
                <w:color w:val="auto"/>
                <w:sz w:val="24"/>
              </w:rPr>
              <w:t>生活污水产生量约为0.</w:t>
            </w:r>
            <w:r>
              <w:rPr>
                <w:rFonts w:hint="eastAsia"/>
                <w:bCs/>
                <w:color w:val="auto"/>
                <w:sz w:val="24"/>
              </w:rPr>
              <w:t>02</w:t>
            </w:r>
            <w:r>
              <w:rPr>
                <w:bCs/>
                <w:color w:val="auto"/>
                <w:sz w:val="24"/>
              </w:rPr>
              <w:t>t/d，</w:t>
            </w:r>
            <w:r>
              <w:rPr>
                <w:rFonts w:hint="eastAsia"/>
                <w:bCs/>
                <w:color w:val="auto"/>
                <w:sz w:val="24"/>
              </w:rPr>
              <w:t>生活污水</w:t>
            </w:r>
            <w:r>
              <w:rPr>
                <w:bCs/>
                <w:color w:val="auto"/>
                <w:sz w:val="24"/>
              </w:rPr>
              <w:t>排入防渗</w:t>
            </w:r>
            <w:r>
              <w:rPr>
                <w:rFonts w:hint="eastAsia"/>
                <w:bCs/>
                <w:color w:val="auto"/>
                <w:sz w:val="24"/>
              </w:rPr>
              <w:t>旱厕，</w:t>
            </w:r>
            <w:r>
              <w:rPr>
                <w:bCs/>
                <w:color w:val="auto"/>
                <w:sz w:val="24"/>
              </w:rPr>
              <w:t>定期清掏，外运堆肥，不外排。本项目选用低噪声机械设备，采取夜间不施工的防噪措施，满足《建筑施工场界环境噪声排放标准》（GB12523-2011）</w:t>
            </w:r>
            <w:r>
              <w:rPr>
                <w:rFonts w:hint="eastAsia"/>
                <w:bCs/>
                <w:color w:val="auto"/>
                <w:sz w:val="24"/>
              </w:rPr>
              <w:t>2类</w:t>
            </w:r>
            <w:r>
              <w:rPr>
                <w:bCs/>
                <w:color w:val="auto"/>
                <w:sz w:val="24"/>
              </w:rPr>
              <w:t>标准要求。固体废物主要为生活垃圾和建筑垃圾，生活垃圾由市政部门统一处理，建筑垃圾运至市政指定地点堆存，经过上述措施后施工期固体废物对环境的影响较小</w:t>
            </w:r>
            <w:r>
              <w:rPr>
                <w:bCs/>
                <w:color w:val="auto"/>
                <w:kern w:val="0"/>
                <w:sz w:val="24"/>
              </w:rPr>
              <w:t>。</w:t>
            </w:r>
          </w:p>
          <w:p>
            <w:pPr>
              <w:spacing w:line="360" w:lineRule="auto"/>
              <w:ind w:firstLine="480" w:firstLineChars="200"/>
              <w:contextualSpacing/>
              <w:rPr>
                <w:rFonts w:hint="eastAsia"/>
                <w:bCs/>
                <w:color w:val="auto"/>
                <w:kern w:val="0"/>
                <w:sz w:val="24"/>
              </w:rPr>
            </w:pPr>
          </w:p>
          <w:p>
            <w:pPr>
              <w:spacing w:line="360" w:lineRule="auto"/>
              <w:ind w:firstLine="480" w:firstLineChars="200"/>
              <w:contextualSpacing/>
              <w:rPr>
                <w:rFonts w:hint="eastAsia"/>
                <w:bCs/>
                <w:color w:val="auto"/>
                <w:kern w:val="0"/>
                <w:sz w:val="24"/>
              </w:rPr>
            </w:pPr>
          </w:p>
          <w:p>
            <w:pPr>
              <w:spacing w:line="360" w:lineRule="auto"/>
              <w:ind w:firstLine="480" w:firstLineChars="200"/>
              <w:contextualSpacing/>
              <w:rPr>
                <w:rFonts w:hint="eastAsia"/>
                <w:bCs/>
                <w:color w:val="auto"/>
                <w:kern w:val="0"/>
                <w:sz w:val="24"/>
              </w:rPr>
            </w:pPr>
          </w:p>
          <w:p>
            <w:pPr>
              <w:spacing w:line="360" w:lineRule="auto"/>
              <w:ind w:firstLine="480" w:firstLineChars="200"/>
              <w:contextualSpacing/>
              <w:rPr>
                <w:rFonts w:hint="eastAsia"/>
                <w:bCs/>
                <w:color w:val="auto"/>
                <w:kern w:val="0"/>
                <w:sz w:val="24"/>
              </w:rPr>
            </w:pPr>
          </w:p>
          <w:p>
            <w:pPr>
              <w:spacing w:line="360" w:lineRule="auto"/>
              <w:ind w:firstLine="480" w:firstLineChars="200"/>
              <w:contextualSpacing/>
              <w:rPr>
                <w:rFonts w:hint="eastAsia"/>
                <w:bCs/>
                <w:color w:val="auto"/>
                <w:kern w:val="0"/>
                <w:sz w:val="24"/>
              </w:rPr>
            </w:pPr>
          </w:p>
          <w:p>
            <w:pPr>
              <w:spacing w:line="360" w:lineRule="auto"/>
              <w:ind w:firstLine="480" w:firstLineChars="200"/>
              <w:contextualSpacing/>
              <w:rPr>
                <w:rFonts w:hint="eastAsia"/>
                <w:bCs/>
                <w:color w:val="auto"/>
                <w:kern w:val="0"/>
                <w:sz w:val="24"/>
              </w:rPr>
            </w:pPr>
          </w:p>
          <w:p>
            <w:pPr>
              <w:spacing w:line="360" w:lineRule="auto"/>
              <w:ind w:firstLine="480" w:firstLineChars="200"/>
              <w:contextualSpacing/>
              <w:rPr>
                <w:rFonts w:hint="eastAsia"/>
                <w:bCs/>
                <w:color w:val="auto"/>
                <w:kern w:val="0"/>
                <w:sz w:val="24"/>
              </w:rPr>
            </w:pPr>
          </w:p>
          <w:p>
            <w:pPr>
              <w:spacing w:line="360" w:lineRule="auto"/>
              <w:ind w:firstLine="480" w:firstLineChars="200"/>
              <w:contextualSpacing/>
              <w:rPr>
                <w:rFonts w:hint="eastAsia"/>
                <w:bCs/>
                <w:color w:val="auto"/>
                <w:kern w:val="0"/>
                <w:sz w:val="24"/>
              </w:rPr>
            </w:pPr>
          </w:p>
          <w:p>
            <w:pPr>
              <w:spacing w:line="360" w:lineRule="auto"/>
              <w:ind w:firstLine="480" w:firstLineChars="200"/>
              <w:contextualSpacing/>
              <w:rPr>
                <w:rFonts w:hint="eastAsia"/>
                <w:bCs/>
                <w:color w:val="auto"/>
                <w:kern w:val="0"/>
                <w:sz w:val="24"/>
              </w:rPr>
            </w:pPr>
          </w:p>
          <w:p>
            <w:pPr>
              <w:spacing w:line="360" w:lineRule="auto"/>
              <w:ind w:firstLine="480" w:firstLineChars="200"/>
              <w:contextualSpacing/>
              <w:rPr>
                <w:rFonts w:hint="eastAsia"/>
                <w:bCs/>
                <w:color w:val="auto"/>
                <w:kern w:val="0"/>
                <w:sz w:val="24"/>
              </w:rPr>
            </w:pPr>
          </w:p>
          <w:p>
            <w:pPr>
              <w:spacing w:line="360" w:lineRule="auto"/>
              <w:ind w:firstLine="480" w:firstLineChars="200"/>
              <w:contextualSpacing/>
              <w:rPr>
                <w:rFonts w:hint="eastAsia"/>
                <w:bCs/>
                <w:color w:val="auto"/>
                <w:kern w:val="0"/>
                <w:sz w:val="24"/>
              </w:rPr>
            </w:pPr>
          </w:p>
          <w:p>
            <w:pPr>
              <w:spacing w:line="360" w:lineRule="auto"/>
              <w:ind w:firstLine="480" w:firstLineChars="200"/>
              <w:contextualSpacing/>
              <w:rPr>
                <w:rFonts w:hint="eastAsia"/>
                <w:bCs/>
                <w:color w:val="auto"/>
                <w:kern w:val="0"/>
                <w:sz w:val="24"/>
              </w:rPr>
            </w:pPr>
          </w:p>
          <w:p>
            <w:pPr>
              <w:spacing w:line="360" w:lineRule="auto"/>
              <w:ind w:firstLine="480" w:firstLineChars="200"/>
              <w:contextualSpacing/>
              <w:rPr>
                <w:rFonts w:hint="eastAsia"/>
                <w:bCs/>
                <w:color w:val="auto"/>
                <w:kern w:val="0"/>
                <w:sz w:val="24"/>
              </w:rPr>
            </w:pPr>
          </w:p>
          <w:p>
            <w:pPr>
              <w:spacing w:line="360" w:lineRule="auto"/>
              <w:ind w:firstLine="480" w:firstLineChars="200"/>
              <w:contextualSpacing/>
              <w:rPr>
                <w:rFonts w:hint="eastAsia"/>
                <w:bCs/>
                <w:color w:val="auto"/>
                <w:kern w:val="0"/>
                <w:sz w:val="24"/>
              </w:rPr>
            </w:pPr>
          </w:p>
          <w:p>
            <w:pPr>
              <w:spacing w:line="360" w:lineRule="auto"/>
              <w:ind w:firstLine="480" w:firstLineChars="200"/>
              <w:contextualSpacing/>
              <w:rPr>
                <w:rFonts w:hint="eastAsia"/>
                <w:bCs/>
                <w:color w:val="auto"/>
                <w:kern w:val="0"/>
                <w:sz w:val="24"/>
              </w:rPr>
            </w:pPr>
          </w:p>
          <w:p>
            <w:pPr>
              <w:spacing w:line="360" w:lineRule="auto"/>
              <w:ind w:firstLine="480" w:firstLineChars="200"/>
              <w:contextualSpacing/>
              <w:rPr>
                <w:rFonts w:hint="eastAsia"/>
                <w:bCs/>
                <w:color w:val="auto"/>
                <w:kern w:val="0"/>
                <w:sz w:val="24"/>
              </w:rPr>
            </w:pPr>
          </w:p>
          <w:p>
            <w:pPr>
              <w:spacing w:line="360" w:lineRule="auto"/>
              <w:ind w:firstLine="480" w:firstLineChars="200"/>
              <w:contextualSpacing/>
              <w:rPr>
                <w:rFonts w:hint="eastAsia"/>
                <w:bCs/>
                <w:color w:val="auto"/>
                <w:kern w:val="0"/>
                <w:sz w:val="24"/>
              </w:rPr>
            </w:pPr>
          </w:p>
          <w:p>
            <w:pPr>
              <w:spacing w:line="360" w:lineRule="auto"/>
              <w:ind w:firstLine="480" w:firstLineChars="200"/>
              <w:contextualSpacing/>
              <w:rPr>
                <w:rFonts w:hint="eastAsia"/>
                <w:bCs/>
                <w:color w:val="auto"/>
                <w:kern w:val="0"/>
                <w:sz w:val="24"/>
              </w:rPr>
            </w:pPr>
          </w:p>
          <w:p>
            <w:pPr>
              <w:spacing w:line="360" w:lineRule="auto"/>
              <w:ind w:firstLine="480" w:firstLineChars="200"/>
              <w:contextualSpacing/>
              <w:rPr>
                <w:rFonts w:hint="eastAsia"/>
                <w:bCs/>
                <w:color w:val="auto"/>
                <w:kern w:val="0"/>
                <w:sz w:val="24"/>
              </w:rPr>
            </w:pPr>
          </w:p>
          <w:p>
            <w:pPr>
              <w:spacing w:line="360" w:lineRule="auto"/>
              <w:ind w:firstLine="480" w:firstLineChars="200"/>
              <w:contextualSpacing/>
              <w:rPr>
                <w:rFonts w:hint="eastAsia"/>
                <w:bCs/>
                <w:color w:val="auto"/>
                <w:kern w:val="0"/>
                <w:sz w:val="24"/>
              </w:rPr>
            </w:pPr>
          </w:p>
          <w:p>
            <w:pPr>
              <w:spacing w:line="360" w:lineRule="auto"/>
              <w:ind w:firstLine="420" w:firstLineChars="200"/>
              <w:contextualSpacing/>
              <w:rPr>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23" w:hRule="atLeast"/>
          <w:jc w:val="center"/>
        </w:trPr>
        <w:tc>
          <w:tcPr>
            <w:tcW w:w="752" w:type="dxa"/>
            <w:noWrap w:val="0"/>
            <w:tcMar>
              <w:left w:w="28" w:type="dxa"/>
              <w:right w:w="28" w:type="dxa"/>
            </w:tcMar>
            <w:vAlign w:val="center"/>
          </w:tcPr>
          <w:p>
            <w:pPr>
              <w:adjustRightInd w:val="0"/>
              <w:snapToGrid w:val="0"/>
              <w:jc w:val="center"/>
              <w:rPr>
                <w:bCs/>
                <w:color w:val="auto"/>
                <w:sz w:val="24"/>
              </w:rPr>
            </w:pPr>
            <w:r>
              <w:rPr>
                <w:bCs/>
                <w:color w:val="auto"/>
                <w:sz w:val="24"/>
              </w:rPr>
              <w:t>运营</w:t>
            </w:r>
          </w:p>
          <w:p>
            <w:pPr>
              <w:adjustRightInd w:val="0"/>
              <w:snapToGrid w:val="0"/>
              <w:jc w:val="center"/>
              <w:rPr>
                <w:bCs/>
                <w:color w:val="auto"/>
                <w:sz w:val="24"/>
              </w:rPr>
            </w:pPr>
            <w:r>
              <w:rPr>
                <w:bCs/>
                <w:color w:val="auto"/>
                <w:sz w:val="24"/>
              </w:rPr>
              <w:t>期环</w:t>
            </w:r>
          </w:p>
          <w:p>
            <w:pPr>
              <w:adjustRightInd w:val="0"/>
              <w:snapToGrid w:val="0"/>
              <w:jc w:val="center"/>
              <w:rPr>
                <w:bCs/>
                <w:color w:val="auto"/>
                <w:sz w:val="24"/>
              </w:rPr>
            </w:pPr>
            <w:r>
              <w:rPr>
                <w:bCs/>
                <w:color w:val="auto"/>
                <w:sz w:val="24"/>
              </w:rPr>
              <w:t>境影</w:t>
            </w:r>
          </w:p>
          <w:p>
            <w:pPr>
              <w:adjustRightInd w:val="0"/>
              <w:snapToGrid w:val="0"/>
              <w:jc w:val="center"/>
              <w:rPr>
                <w:bCs/>
                <w:color w:val="auto"/>
                <w:sz w:val="24"/>
              </w:rPr>
            </w:pPr>
            <w:r>
              <w:rPr>
                <w:bCs/>
                <w:color w:val="auto"/>
                <w:sz w:val="24"/>
              </w:rPr>
              <w:t>响和</w:t>
            </w:r>
          </w:p>
          <w:p>
            <w:pPr>
              <w:adjustRightInd w:val="0"/>
              <w:snapToGrid w:val="0"/>
              <w:jc w:val="center"/>
              <w:rPr>
                <w:bCs/>
                <w:color w:val="auto"/>
                <w:sz w:val="24"/>
              </w:rPr>
            </w:pPr>
            <w:r>
              <w:rPr>
                <w:bCs/>
                <w:color w:val="auto"/>
                <w:sz w:val="24"/>
              </w:rPr>
              <w:t>保护</w:t>
            </w:r>
          </w:p>
          <w:p>
            <w:pPr>
              <w:adjustRightInd w:val="0"/>
              <w:snapToGrid w:val="0"/>
              <w:jc w:val="center"/>
              <w:rPr>
                <w:bCs/>
                <w:color w:val="auto"/>
                <w:sz w:val="24"/>
              </w:rPr>
            </w:pPr>
            <w:r>
              <w:rPr>
                <w:bCs/>
                <w:color w:val="auto"/>
                <w:sz w:val="24"/>
              </w:rPr>
              <w:t>措施</w:t>
            </w:r>
          </w:p>
        </w:tc>
        <w:tc>
          <w:tcPr>
            <w:tcW w:w="8139" w:type="dxa"/>
            <w:noWrap w:val="0"/>
            <w:vAlign w:val="center"/>
          </w:tcPr>
          <w:p>
            <w:pPr>
              <w:spacing w:line="360" w:lineRule="auto"/>
              <w:ind w:firstLine="482" w:firstLineChars="200"/>
              <w:contextualSpacing/>
              <w:rPr>
                <w:b/>
                <w:bCs/>
                <w:color w:val="auto"/>
                <w:sz w:val="24"/>
              </w:rPr>
            </w:pPr>
            <w:r>
              <w:rPr>
                <w:b/>
                <w:bCs/>
                <w:color w:val="auto"/>
                <w:sz w:val="24"/>
              </w:rPr>
              <w:t>（一）废气</w:t>
            </w:r>
          </w:p>
          <w:p>
            <w:pPr>
              <w:pStyle w:val="36"/>
              <w:ind w:firstLine="482"/>
              <w:rPr>
                <w:rFonts w:hint="eastAsia"/>
                <w:b/>
                <w:bCs/>
                <w:color w:val="auto"/>
                <w:sz w:val="24"/>
                <w:lang w:val="en-US" w:eastAsia="zh-CN"/>
              </w:rPr>
            </w:pPr>
            <w:r>
              <w:rPr>
                <w:b/>
                <w:bCs/>
                <w:color w:val="auto"/>
                <w:sz w:val="24"/>
                <w:lang w:val="en-US" w:eastAsia="zh-CN"/>
              </w:rPr>
              <w:t>1、主要污染物及源强</w:t>
            </w:r>
          </w:p>
          <w:p>
            <w:pPr>
              <w:pStyle w:val="36"/>
              <w:ind w:firstLine="480"/>
              <w:rPr>
                <w:b/>
                <w:bCs/>
                <w:color w:val="auto"/>
                <w:sz w:val="24"/>
                <w:lang w:val="en-US" w:eastAsia="zh-CN"/>
              </w:rPr>
            </w:pPr>
            <w:r>
              <w:rPr>
                <w:rFonts w:cs="宋体"/>
                <w:color w:val="auto"/>
                <w:sz w:val="24"/>
                <w:lang w:val="en-US" w:eastAsia="zh-CN"/>
              </w:rPr>
              <w:t>本项目</w:t>
            </w:r>
            <w:r>
              <w:rPr>
                <w:rFonts w:hint="eastAsia" w:cs="宋体"/>
                <w:color w:val="auto"/>
                <w:sz w:val="24"/>
                <w:lang w:val="en-US" w:eastAsia="zh-CN"/>
              </w:rPr>
              <w:t>运营期废气主要为锅炉烟气及</w:t>
            </w:r>
            <w:r>
              <w:rPr>
                <w:rFonts w:hint="eastAsia" w:cs="宋体"/>
                <w:bCs/>
                <w:color w:val="auto"/>
                <w:sz w:val="24"/>
                <w:lang w:val="en-US" w:eastAsia="zh-CN"/>
              </w:rPr>
              <w:t>灰渣转运产生的粉尘</w:t>
            </w:r>
            <w:r>
              <w:rPr>
                <w:rFonts w:hint="eastAsia" w:cs="宋体"/>
                <w:color w:val="auto"/>
                <w:sz w:val="24"/>
                <w:lang w:val="en-US" w:eastAsia="zh-CN"/>
              </w:rPr>
              <w:t>，锅炉烟气污染物为烟尘、二氧化硫、氮氧化物及林格曼黑度；锅炉</w:t>
            </w:r>
            <w:r>
              <w:rPr>
                <w:rFonts w:hint="eastAsia" w:cs="宋体"/>
                <w:bCs/>
                <w:color w:val="auto"/>
                <w:sz w:val="24"/>
                <w:lang w:val="en-US" w:eastAsia="zh-CN"/>
              </w:rPr>
              <w:t>灰渣采用湿式除渣，存放于运输车内，采用苫布苫盖，及时清运，不长期储存；燃料堆场周边设置防风抑尘网，燃料采取苫盖，防风防雨，粉尘以无组织形式在厂区排放</w:t>
            </w:r>
            <w:r>
              <w:rPr>
                <w:rFonts w:cs="宋体"/>
                <w:color w:val="auto"/>
                <w:sz w:val="24"/>
                <w:lang w:val="en-US" w:eastAsia="zh-CN"/>
              </w:rPr>
              <w:t>。</w:t>
            </w:r>
          </w:p>
          <w:p>
            <w:pPr>
              <w:spacing w:line="360" w:lineRule="auto"/>
              <w:ind w:firstLine="482" w:firstLineChars="200"/>
              <w:jc w:val="center"/>
              <w:rPr>
                <w:b/>
                <w:bCs/>
                <w:color w:val="auto"/>
                <w:sz w:val="24"/>
              </w:rPr>
            </w:pPr>
            <w:r>
              <w:rPr>
                <w:b/>
                <w:bCs/>
                <w:color w:val="auto"/>
                <w:sz w:val="24"/>
              </w:rPr>
              <w:t>表4-1 废气污染源源强核算表</w:t>
            </w:r>
          </w:p>
          <w:tbl>
            <w:tblPr>
              <w:tblStyle w:val="15"/>
              <w:tblW w:w="777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80"/>
              <w:gridCol w:w="613"/>
              <w:gridCol w:w="794"/>
              <w:gridCol w:w="622"/>
              <w:gridCol w:w="479"/>
              <w:gridCol w:w="413"/>
              <w:gridCol w:w="634"/>
              <w:gridCol w:w="842"/>
              <w:gridCol w:w="732"/>
              <w:gridCol w:w="752"/>
              <w:gridCol w:w="752"/>
              <w:gridCol w:w="75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244" w:type="pct"/>
                  <w:vMerge w:val="restart"/>
                  <w:noWrap w:val="0"/>
                  <w:vAlign w:val="center"/>
                </w:tcPr>
                <w:p>
                  <w:pPr>
                    <w:spacing w:line="0" w:lineRule="atLeast"/>
                    <w:jc w:val="center"/>
                    <w:rPr>
                      <w:color w:val="auto"/>
                      <w:szCs w:val="21"/>
                    </w:rPr>
                  </w:pPr>
                  <w:r>
                    <w:rPr>
                      <w:color w:val="auto"/>
                      <w:szCs w:val="21"/>
                    </w:rPr>
                    <w:t>产</w:t>
                  </w:r>
                  <w:r>
                    <w:rPr>
                      <w:rFonts w:hint="eastAsia"/>
                      <w:color w:val="auto"/>
                      <w:szCs w:val="21"/>
                    </w:rPr>
                    <w:t>排</w:t>
                  </w:r>
                  <w:r>
                    <w:rPr>
                      <w:color w:val="auto"/>
                      <w:szCs w:val="21"/>
                    </w:rPr>
                    <w:t>污环节</w:t>
                  </w:r>
                </w:p>
              </w:tc>
              <w:tc>
                <w:tcPr>
                  <w:tcW w:w="394" w:type="pct"/>
                  <w:vMerge w:val="restart"/>
                  <w:noWrap w:val="0"/>
                  <w:vAlign w:val="center"/>
                </w:tcPr>
                <w:p>
                  <w:pPr>
                    <w:spacing w:line="0" w:lineRule="atLeast"/>
                    <w:jc w:val="center"/>
                    <w:rPr>
                      <w:color w:val="auto"/>
                      <w:szCs w:val="21"/>
                    </w:rPr>
                  </w:pPr>
                  <w:r>
                    <w:rPr>
                      <w:color w:val="auto"/>
                      <w:szCs w:val="21"/>
                    </w:rPr>
                    <w:t>污染物种类</w:t>
                  </w:r>
                </w:p>
              </w:tc>
              <w:tc>
                <w:tcPr>
                  <w:tcW w:w="911" w:type="pct"/>
                  <w:gridSpan w:val="2"/>
                  <w:noWrap w:val="0"/>
                  <w:vAlign w:val="center"/>
                </w:tcPr>
                <w:p>
                  <w:pPr>
                    <w:spacing w:line="0" w:lineRule="atLeast"/>
                    <w:jc w:val="center"/>
                    <w:rPr>
                      <w:color w:val="auto"/>
                      <w:szCs w:val="21"/>
                    </w:rPr>
                  </w:pPr>
                  <w:r>
                    <w:rPr>
                      <w:color w:val="auto"/>
                      <w:szCs w:val="21"/>
                    </w:rPr>
                    <w:t>污染物产生</w:t>
                  </w:r>
                </w:p>
              </w:tc>
              <w:tc>
                <w:tcPr>
                  <w:tcW w:w="308" w:type="pct"/>
                  <w:vMerge w:val="restart"/>
                  <w:noWrap w:val="0"/>
                  <w:vAlign w:val="center"/>
                </w:tcPr>
                <w:p>
                  <w:pPr>
                    <w:pStyle w:val="37"/>
                    <w:spacing w:line="0" w:lineRule="atLeast"/>
                    <w:rPr>
                      <w:rFonts w:ascii="Times New Roman" w:hAnsi="Times New Roman" w:eastAsia="宋体"/>
                      <w:color w:val="auto"/>
                      <w:sz w:val="21"/>
                      <w:szCs w:val="21"/>
                    </w:rPr>
                  </w:pPr>
                  <w:r>
                    <w:rPr>
                      <w:rFonts w:ascii="Times New Roman" w:hAnsi="Times New Roman" w:eastAsia="宋体"/>
                      <w:color w:val="auto"/>
                      <w:sz w:val="21"/>
                      <w:szCs w:val="21"/>
                    </w:rPr>
                    <w:t>处理能力m</w:t>
                  </w:r>
                  <w:r>
                    <w:rPr>
                      <w:rFonts w:ascii="Times New Roman" w:hAnsi="Times New Roman" w:eastAsia="宋体"/>
                      <w:color w:val="auto"/>
                      <w:sz w:val="21"/>
                      <w:szCs w:val="21"/>
                      <w:vertAlign w:val="superscript"/>
                    </w:rPr>
                    <w:t>3</w:t>
                  </w:r>
                  <w:r>
                    <w:rPr>
                      <w:rFonts w:ascii="Times New Roman" w:hAnsi="Times New Roman" w:eastAsia="宋体"/>
                      <w:color w:val="auto"/>
                      <w:sz w:val="21"/>
                      <w:szCs w:val="21"/>
                    </w:rPr>
                    <w:t>/h</w:t>
                  </w:r>
                </w:p>
              </w:tc>
              <w:tc>
                <w:tcPr>
                  <w:tcW w:w="266" w:type="pct"/>
                  <w:vMerge w:val="restart"/>
                  <w:noWrap w:val="0"/>
                  <w:vAlign w:val="center"/>
                </w:tcPr>
                <w:p>
                  <w:pPr>
                    <w:pStyle w:val="37"/>
                    <w:spacing w:line="0" w:lineRule="atLeast"/>
                    <w:rPr>
                      <w:rFonts w:ascii="Times New Roman" w:hAnsi="Times New Roman" w:eastAsia="宋体"/>
                      <w:color w:val="auto"/>
                      <w:sz w:val="21"/>
                      <w:szCs w:val="21"/>
                    </w:rPr>
                  </w:pPr>
                  <w:r>
                    <w:rPr>
                      <w:rFonts w:ascii="Times New Roman" w:hAnsi="Times New Roman" w:eastAsia="宋体"/>
                      <w:color w:val="auto"/>
                      <w:sz w:val="21"/>
                      <w:szCs w:val="21"/>
                    </w:rPr>
                    <w:t>排放形式</w:t>
                  </w:r>
                </w:p>
              </w:tc>
              <w:tc>
                <w:tcPr>
                  <w:tcW w:w="1420" w:type="pct"/>
                  <w:gridSpan w:val="3"/>
                  <w:noWrap w:val="0"/>
                  <w:vAlign w:val="center"/>
                </w:tcPr>
                <w:p>
                  <w:pPr>
                    <w:spacing w:line="0" w:lineRule="atLeast"/>
                    <w:jc w:val="center"/>
                    <w:rPr>
                      <w:color w:val="auto"/>
                      <w:szCs w:val="21"/>
                    </w:rPr>
                  </w:pPr>
                  <w:r>
                    <w:rPr>
                      <w:color w:val="auto"/>
                      <w:szCs w:val="21"/>
                    </w:rPr>
                    <w:t>治理设施</w:t>
                  </w:r>
                </w:p>
              </w:tc>
              <w:tc>
                <w:tcPr>
                  <w:tcW w:w="1456" w:type="pct"/>
                  <w:gridSpan w:val="3"/>
                  <w:noWrap w:val="0"/>
                  <w:vAlign w:val="center"/>
                </w:tcPr>
                <w:p>
                  <w:pPr>
                    <w:spacing w:line="0" w:lineRule="atLeast"/>
                    <w:jc w:val="center"/>
                    <w:rPr>
                      <w:color w:val="auto"/>
                      <w:szCs w:val="21"/>
                    </w:rPr>
                  </w:pPr>
                  <w:r>
                    <w:rPr>
                      <w:color w:val="auto"/>
                      <w:szCs w:val="21"/>
                    </w:rPr>
                    <w:t>污染物排放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44" w:type="pct"/>
                  <w:vMerge w:val="continue"/>
                  <w:noWrap w:val="0"/>
                  <w:vAlign w:val="center"/>
                </w:tcPr>
                <w:p>
                  <w:pPr>
                    <w:spacing w:line="0" w:lineRule="atLeast"/>
                    <w:jc w:val="center"/>
                    <w:rPr>
                      <w:color w:val="auto"/>
                      <w:szCs w:val="21"/>
                    </w:rPr>
                  </w:pPr>
                </w:p>
              </w:tc>
              <w:tc>
                <w:tcPr>
                  <w:tcW w:w="394" w:type="pct"/>
                  <w:vMerge w:val="continue"/>
                  <w:noWrap w:val="0"/>
                  <w:vAlign w:val="center"/>
                </w:tcPr>
                <w:p>
                  <w:pPr>
                    <w:spacing w:line="0" w:lineRule="atLeast"/>
                    <w:jc w:val="center"/>
                    <w:rPr>
                      <w:color w:val="auto"/>
                      <w:szCs w:val="21"/>
                    </w:rPr>
                  </w:pPr>
                </w:p>
              </w:tc>
              <w:tc>
                <w:tcPr>
                  <w:tcW w:w="511" w:type="pct"/>
                  <w:tcBorders>
                    <w:right w:val="single" w:color="auto" w:sz="4" w:space="0"/>
                  </w:tcBorders>
                  <w:noWrap w:val="0"/>
                  <w:vAlign w:val="center"/>
                </w:tcPr>
                <w:p>
                  <w:pPr>
                    <w:pStyle w:val="37"/>
                    <w:spacing w:line="0" w:lineRule="atLeast"/>
                    <w:rPr>
                      <w:rFonts w:ascii="Times New Roman" w:hAnsi="Times New Roman" w:eastAsia="宋体"/>
                      <w:color w:val="auto"/>
                      <w:sz w:val="21"/>
                      <w:szCs w:val="21"/>
                    </w:rPr>
                  </w:pPr>
                  <w:r>
                    <w:rPr>
                      <w:rFonts w:ascii="Times New Roman" w:hAnsi="Times New Roman" w:eastAsia="宋体"/>
                      <w:color w:val="auto"/>
                      <w:sz w:val="21"/>
                      <w:szCs w:val="21"/>
                    </w:rPr>
                    <w:t>产生浓度mg/m</w:t>
                  </w:r>
                  <w:r>
                    <w:rPr>
                      <w:rFonts w:ascii="Times New Roman" w:hAnsi="Times New Roman" w:eastAsia="宋体"/>
                      <w:color w:val="auto"/>
                      <w:sz w:val="21"/>
                      <w:szCs w:val="21"/>
                      <w:vertAlign w:val="superscript"/>
                    </w:rPr>
                    <w:t>3</w:t>
                  </w:r>
                </w:p>
              </w:tc>
              <w:tc>
                <w:tcPr>
                  <w:tcW w:w="400" w:type="pct"/>
                  <w:tcBorders>
                    <w:left w:val="single" w:color="auto" w:sz="4" w:space="0"/>
                  </w:tcBorders>
                  <w:noWrap w:val="0"/>
                  <w:vAlign w:val="center"/>
                </w:tcPr>
                <w:p>
                  <w:pPr>
                    <w:pStyle w:val="37"/>
                    <w:spacing w:line="0" w:lineRule="atLeast"/>
                    <w:rPr>
                      <w:rFonts w:ascii="Times New Roman" w:hAnsi="Times New Roman" w:eastAsia="宋体"/>
                      <w:color w:val="auto"/>
                      <w:sz w:val="21"/>
                      <w:szCs w:val="21"/>
                    </w:rPr>
                  </w:pPr>
                  <w:r>
                    <w:rPr>
                      <w:rFonts w:ascii="Times New Roman" w:hAnsi="Times New Roman" w:eastAsia="宋体"/>
                      <w:color w:val="auto"/>
                      <w:sz w:val="21"/>
                      <w:szCs w:val="21"/>
                    </w:rPr>
                    <w:t>产生量t/a</w:t>
                  </w:r>
                </w:p>
              </w:tc>
              <w:tc>
                <w:tcPr>
                  <w:tcW w:w="308" w:type="pct"/>
                  <w:vMerge w:val="continue"/>
                  <w:noWrap w:val="0"/>
                  <w:vAlign w:val="center"/>
                </w:tcPr>
                <w:p>
                  <w:pPr>
                    <w:pStyle w:val="37"/>
                    <w:spacing w:line="0" w:lineRule="atLeast"/>
                    <w:rPr>
                      <w:rFonts w:ascii="Times New Roman" w:hAnsi="Times New Roman" w:eastAsia="宋体"/>
                      <w:color w:val="auto"/>
                      <w:sz w:val="21"/>
                      <w:szCs w:val="21"/>
                    </w:rPr>
                  </w:pPr>
                </w:p>
              </w:tc>
              <w:tc>
                <w:tcPr>
                  <w:tcW w:w="266" w:type="pct"/>
                  <w:vMerge w:val="continue"/>
                  <w:noWrap w:val="0"/>
                  <w:vAlign w:val="center"/>
                </w:tcPr>
                <w:p>
                  <w:pPr>
                    <w:pStyle w:val="37"/>
                    <w:spacing w:line="0" w:lineRule="atLeast"/>
                    <w:rPr>
                      <w:rFonts w:ascii="Times New Roman" w:hAnsi="Times New Roman" w:eastAsia="宋体"/>
                      <w:color w:val="auto"/>
                      <w:sz w:val="21"/>
                      <w:szCs w:val="21"/>
                    </w:rPr>
                  </w:pPr>
                </w:p>
              </w:tc>
              <w:tc>
                <w:tcPr>
                  <w:tcW w:w="408" w:type="pct"/>
                  <w:noWrap w:val="0"/>
                  <w:vAlign w:val="center"/>
                </w:tcPr>
                <w:p>
                  <w:pPr>
                    <w:spacing w:line="0" w:lineRule="atLeast"/>
                    <w:jc w:val="center"/>
                    <w:rPr>
                      <w:color w:val="auto"/>
                      <w:szCs w:val="21"/>
                    </w:rPr>
                  </w:pPr>
                  <w:r>
                    <w:rPr>
                      <w:color w:val="auto"/>
                      <w:szCs w:val="21"/>
                    </w:rPr>
                    <w:t>工艺</w:t>
                  </w:r>
                </w:p>
              </w:tc>
              <w:tc>
                <w:tcPr>
                  <w:tcW w:w="542" w:type="pct"/>
                  <w:noWrap w:val="0"/>
                  <w:vAlign w:val="center"/>
                </w:tcPr>
                <w:p>
                  <w:pPr>
                    <w:spacing w:line="0" w:lineRule="atLeast"/>
                    <w:jc w:val="center"/>
                    <w:rPr>
                      <w:color w:val="auto"/>
                      <w:szCs w:val="21"/>
                    </w:rPr>
                  </w:pPr>
                  <w:r>
                    <w:rPr>
                      <w:color w:val="auto"/>
                      <w:szCs w:val="21"/>
                    </w:rPr>
                    <w:t>效率</w:t>
                  </w:r>
                </w:p>
              </w:tc>
              <w:tc>
                <w:tcPr>
                  <w:tcW w:w="471" w:type="pct"/>
                  <w:noWrap w:val="0"/>
                  <w:vAlign w:val="center"/>
                </w:tcPr>
                <w:p>
                  <w:pPr>
                    <w:widowControl/>
                    <w:spacing w:line="0" w:lineRule="atLeast"/>
                    <w:jc w:val="center"/>
                    <w:rPr>
                      <w:color w:val="auto"/>
                      <w:szCs w:val="21"/>
                    </w:rPr>
                  </w:pPr>
                  <w:r>
                    <w:rPr>
                      <w:color w:val="auto"/>
                      <w:szCs w:val="21"/>
                    </w:rPr>
                    <w:t>是否为可行性技术</w:t>
                  </w:r>
                </w:p>
              </w:tc>
              <w:tc>
                <w:tcPr>
                  <w:tcW w:w="484" w:type="pct"/>
                  <w:noWrap w:val="0"/>
                  <w:vAlign w:val="center"/>
                </w:tcPr>
                <w:p>
                  <w:pPr>
                    <w:pStyle w:val="37"/>
                    <w:spacing w:line="0" w:lineRule="atLeast"/>
                    <w:rPr>
                      <w:rFonts w:ascii="Times New Roman" w:hAnsi="Times New Roman" w:eastAsia="宋体"/>
                      <w:color w:val="auto"/>
                      <w:sz w:val="21"/>
                      <w:szCs w:val="21"/>
                    </w:rPr>
                  </w:pPr>
                  <w:r>
                    <w:rPr>
                      <w:rFonts w:ascii="Times New Roman" w:hAnsi="Times New Roman" w:eastAsia="宋体"/>
                      <w:color w:val="auto"/>
                      <w:sz w:val="21"/>
                      <w:szCs w:val="21"/>
                    </w:rPr>
                    <w:t>排放浓度mg/m</w:t>
                  </w:r>
                  <w:r>
                    <w:rPr>
                      <w:rFonts w:ascii="Times New Roman" w:hAnsi="Times New Roman" w:eastAsia="宋体"/>
                      <w:color w:val="auto"/>
                      <w:sz w:val="21"/>
                      <w:szCs w:val="21"/>
                      <w:vertAlign w:val="superscript"/>
                    </w:rPr>
                    <w:t>3</w:t>
                  </w:r>
                </w:p>
              </w:tc>
              <w:tc>
                <w:tcPr>
                  <w:tcW w:w="484" w:type="pct"/>
                  <w:noWrap w:val="0"/>
                  <w:vAlign w:val="center"/>
                </w:tcPr>
                <w:p>
                  <w:pPr>
                    <w:pStyle w:val="37"/>
                    <w:spacing w:line="0" w:lineRule="atLeast"/>
                    <w:rPr>
                      <w:rFonts w:ascii="Times New Roman" w:hAnsi="Times New Roman" w:eastAsia="宋体"/>
                      <w:color w:val="auto"/>
                      <w:sz w:val="21"/>
                      <w:szCs w:val="21"/>
                    </w:rPr>
                  </w:pPr>
                  <w:r>
                    <w:rPr>
                      <w:rFonts w:ascii="Times New Roman" w:hAnsi="Times New Roman" w:eastAsia="宋体"/>
                      <w:color w:val="auto"/>
                      <w:sz w:val="21"/>
                      <w:szCs w:val="21"/>
                    </w:rPr>
                    <w:t>排放速率</w:t>
                  </w:r>
                </w:p>
                <w:p>
                  <w:pPr>
                    <w:pStyle w:val="37"/>
                    <w:spacing w:line="0" w:lineRule="atLeast"/>
                    <w:rPr>
                      <w:rFonts w:ascii="Times New Roman" w:hAnsi="Times New Roman" w:eastAsia="宋体"/>
                      <w:color w:val="auto"/>
                      <w:sz w:val="21"/>
                      <w:szCs w:val="21"/>
                    </w:rPr>
                  </w:pPr>
                  <w:r>
                    <w:rPr>
                      <w:rFonts w:ascii="Times New Roman" w:hAnsi="Times New Roman" w:eastAsia="宋体"/>
                      <w:color w:val="auto"/>
                      <w:sz w:val="21"/>
                      <w:szCs w:val="21"/>
                    </w:rPr>
                    <w:t>kg/h</w:t>
                  </w:r>
                </w:p>
              </w:tc>
              <w:tc>
                <w:tcPr>
                  <w:tcW w:w="488" w:type="pct"/>
                  <w:noWrap w:val="0"/>
                  <w:vAlign w:val="center"/>
                </w:tcPr>
                <w:p>
                  <w:pPr>
                    <w:pStyle w:val="37"/>
                    <w:spacing w:line="0" w:lineRule="atLeast"/>
                    <w:rPr>
                      <w:rFonts w:ascii="Times New Roman" w:hAnsi="Times New Roman" w:eastAsia="宋体"/>
                      <w:color w:val="auto"/>
                      <w:sz w:val="21"/>
                      <w:szCs w:val="21"/>
                    </w:rPr>
                  </w:pPr>
                  <w:r>
                    <w:rPr>
                      <w:rFonts w:ascii="Times New Roman" w:hAnsi="Times New Roman" w:eastAsia="宋体"/>
                      <w:color w:val="auto"/>
                      <w:sz w:val="21"/>
                      <w:szCs w:val="21"/>
                    </w:rPr>
                    <w:t>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44" w:type="pct"/>
                  <w:vMerge w:val="restart"/>
                  <w:noWrap w:val="0"/>
                  <w:vAlign w:val="center"/>
                </w:tcPr>
                <w:p>
                  <w:pPr>
                    <w:spacing w:line="0" w:lineRule="atLeast"/>
                    <w:jc w:val="center"/>
                    <w:rPr>
                      <w:color w:val="auto"/>
                      <w:szCs w:val="21"/>
                    </w:rPr>
                  </w:pPr>
                  <w:r>
                    <w:rPr>
                      <w:color w:val="auto"/>
                      <w:szCs w:val="21"/>
                    </w:rPr>
                    <w:t>生物质锅炉</w:t>
                  </w:r>
                </w:p>
              </w:tc>
              <w:tc>
                <w:tcPr>
                  <w:tcW w:w="394" w:type="pct"/>
                  <w:noWrap w:val="0"/>
                  <w:vAlign w:val="center"/>
                </w:tcPr>
                <w:p>
                  <w:pPr>
                    <w:spacing w:line="0" w:lineRule="atLeast"/>
                    <w:jc w:val="center"/>
                    <w:rPr>
                      <w:color w:val="auto"/>
                      <w:szCs w:val="21"/>
                    </w:rPr>
                  </w:pPr>
                  <w:r>
                    <w:rPr>
                      <w:color w:val="auto"/>
                      <w:szCs w:val="21"/>
                    </w:rPr>
                    <w:t>颗粒物</w:t>
                  </w:r>
                </w:p>
              </w:tc>
              <w:tc>
                <w:tcPr>
                  <w:tcW w:w="511" w:type="pct"/>
                  <w:noWrap w:val="0"/>
                  <w:vAlign w:val="center"/>
                </w:tcPr>
                <w:p>
                  <w:pPr>
                    <w:pStyle w:val="38"/>
                    <w:spacing w:line="0" w:lineRule="atLeast"/>
                    <w:rPr>
                      <w:rFonts w:eastAsia="宋体"/>
                      <w:color w:val="auto"/>
                      <w:kern w:val="2"/>
                      <w:szCs w:val="21"/>
                      <w:lang w:val="en-US" w:eastAsia="zh-CN"/>
                    </w:rPr>
                  </w:pPr>
                  <w:r>
                    <w:rPr>
                      <w:rFonts w:hint="eastAsia" w:eastAsia="宋体"/>
                      <w:color w:val="auto"/>
                      <w:kern w:val="2"/>
                      <w:szCs w:val="21"/>
                      <w:lang w:val="en-US" w:eastAsia="zh-CN"/>
                    </w:rPr>
                    <w:t>8619.84</w:t>
                  </w:r>
                </w:p>
              </w:tc>
              <w:tc>
                <w:tcPr>
                  <w:tcW w:w="400" w:type="pct"/>
                  <w:noWrap w:val="0"/>
                  <w:vAlign w:val="center"/>
                </w:tcPr>
                <w:p>
                  <w:pPr>
                    <w:pStyle w:val="38"/>
                    <w:spacing w:line="0" w:lineRule="atLeast"/>
                    <w:ind w:right="-13" w:rightChars="-6"/>
                    <w:rPr>
                      <w:rFonts w:eastAsia="宋体"/>
                      <w:color w:val="auto"/>
                      <w:kern w:val="2"/>
                      <w:szCs w:val="21"/>
                      <w:lang w:val="en-US" w:eastAsia="zh-CN"/>
                    </w:rPr>
                  </w:pPr>
                  <w:r>
                    <w:rPr>
                      <w:rFonts w:hint="eastAsia" w:eastAsia="宋体"/>
                      <w:color w:val="auto"/>
                      <w:kern w:val="2"/>
                      <w:szCs w:val="21"/>
                      <w:lang w:val="en-US" w:eastAsia="zh-CN"/>
                    </w:rPr>
                    <w:t>194.2</w:t>
                  </w:r>
                </w:p>
              </w:tc>
              <w:tc>
                <w:tcPr>
                  <w:tcW w:w="308" w:type="pct"/>
                  <w:vMerge w:val="restart"/>
                  <w:noWrap w:val="0"/>
                  <w:vAlign w:val="center"/>
                </w:tcPr>
                <w:p>
                  <w:pPr>
                    <w:spacing w:line="0" w:lineRule="atLeast"/>
                    <w:jc w:val="center"/>
                    <w:rPr>
                      <w:color w:val="auto"/>
                      <w:szCs w:val="21"/>
                    </w:rPr>
                  </w:pPr>
                  <w:r>
                    <w:rPr>
                      <w:rFonts w:hint="eastAsia"/>
                      <w:color w:val="auto"/>
                      <w:szCs w:val="21"/>
                    </w:rPr>
                    <w:t>13006</w:t>
                  </w:r>
                </w:p>
              </w:tc>
              <w:tc>
                <w:tcPr>
                  <w:tcW w:w="266" w:type="pct"/>
                  <w:vMerge w:val="restart"/>
                  <w:noWrap w:val="0"/>
                  <w:vAlign w:val="center"/>
                </w:tcPr>
                <w:p>
                  <w:pPr>
                    <w:spacing w:line="0" w:lineRule="atLeast"/>
                    <w:jc w:val="center"/>
                    <w:rPr>
                      <w:color w:val="auto"/>
                      <w:szCs w:val="21"/>
                    </w:rPr>
                  </w:pPr>
                  <w:r>
                    <w:rPr>
                      <w:color w:val="auto"/>
                      <w:szCs w:val="21"/>
                    </w:rPr>
                    <w:t>有组织</w:t>
                  </w:r>
                </w:p>
              </w:tc>
              <w:tc>
                <w:tcPr>
                  <w:tcW w:w="408" w:type="pct"/>
                  <w:noWrap w:val="0"/>
                  <w:vAlign w:val="center"/>
                </w:tcPr>
                <w:p>
                  <w:pPr>
                    <w:pStyle w:val="37"/>
                    <w:spacing w:line="0" w:lineRule="atLeast"/>
                    <w:rPr>
                      <w:rFonts w:ascii="Times New Roman" w:hAnsi="Times New Roman" w:eastAsia="宋体"/>
                      <w:color w:val="auto"/>
                      <w:sz w:val="21"/>
                      <w:szCs w:val="21"/>
                    </w:rPr>
                  </w:pPr>
                  <w:r>
                    <w:rPr>
                      <w:rFonts w:ascii="Times New Roman" w:hAnsi="Times New Roman" w:eastAsia="宋体"/>
                      <w:color w:val="auto"/>
                      <w:sz w:val="21"/>
                      <w:szCs w:val="21"/>
                    </w:rPr>
                    <w:t>陶瓷多管+布袋</w:t>
                  </w:r>
                </w:p>
              </w:tc>
              <w:tc>
                <w:tcPr>
                  <w:tcW w:w="542" w:type="pct"/>
                  <w:noWrap w:val="0"/>
                  <w:vAlign w:val="center"/>
                </w:tcPr>
                <w:p>
                  <w:pPr>
                    <w:pStyle w:val="37"/>
                    <w:spacing w:line="0" w:lineRule="atLeast"/>
                    <w:rPr>
                      <w:rFonts w:ascii="Times New Roman" w:hAnsi="Times New Roman" w:eastAsia="宋体"/>
                      <w:color w:val="auto"/>
                      <w:sz w:val="21"/>
                      <w:szCs w:val="21"/>
                    </w:rPr>
                  </w:pPr>
                  <w:r>
                    <w:rPr>
                      <w:rFonts w:ascii="Times New Roman" w:hAnsi="Times New Roman" w:eastAsia="宋体"/>
                      <w:color w:val="auto"/>
                      <w:sz w:val="21"/>
                      <w:szCs w:val="21"/>
                    </w:rPr>
                    <w:t>收集效率100%，除尘效率99.</w:t>
                  </w:r>
                  <w:r>
                    <w:rPr>
                      <w:rFonts w:hint="eastAsia" w:ascii="Times New Roman" w:hAnsi="Times New Roman" w:eastAsia="宋体"/>
                      <w:color w:val="auto"/>
                      <w:sz w:val="21"/>
                      <w:szCs w:val="21"/>
                    </w:rPr>
                    <w:t>6</w:t>
                  </w:r>
                  <w:r>
                    <w:rPr>
                      <w:rFonts w:ascii="Times New Roman" w:hAnsi="Times New Roman" w:eastAsia="宋体"/>
                      <w:color w:val="auto"/>
                      <w:sz w:val="21"/>
                      <w:szCs w:val="21"/>
                    </w:rPr>
                    <w:t>%</w:t>
                  </w:r>
                </w:p>
              </w:tc>
              <w:tc>
                <w:tcPr>
                  <w:tcW w:w="471" w:type="pct"/>
                  <w:noWrap w:val="0"/>
                  <w:vAlign w:val="center"/>
                </w:tcPr>
                <w:p>
                  <w:pPr>
                    <w:pStyle w:val="37"/>
                    <w:spacing w:line="0" w:lineRule="atLeast"/>
                    <w:rPr>
                      <w:rFonts w:ascii="Times New Roman" w:hAnsi="Times New Roman" w:eastAsia="宋体"/>
                      <w:color w:val="auto"/>
                      <w:sz w:val="21"/>
                      <w:szCs w:val="21"/>
                    </w:rPr>
                  </w:pPr>
                  <w:r>
                    <w:rPr>
                      <w:rFonts w:ascii="Times New Roman" w:hAnsi="Times New Roman" w:eastAsia="宋体"/>
                      <w:color w:val="auto"/>
                      <w:sz w:val="21"/>
                      <w:szCs w:val="21"/>
                    </w:rPr>
                    <w:t>是</w:t>
                  </w:r>
                </w:p>
              </w:tc>
              <w:tc>
                <w:tcPr>
                  <w:tcW w:w="484" w:type="pct"/>
                  <w:noWrap w:val="0"/>
                  <w:vAlign w:val="center"/>
                </w:tcPr>
                <w:p>
                  <w:pPr>
                    <w:pStyle w:val="38"/>
                    <w:spacing w:line="0" w:lineRule="atLeast"/>
                    <w:rPr>
                      <w:rFonts w:eastAsia="宋体"/>
                      <w:color w:val="auto"/>
                      <w:kern w:val="2"/>
                      <w:szCs w:val="21"/>
                      <w:lang w:val="en-US" w:eastAsia="zh-CN"/>
                    </w:rPr>
                  </w:pPr>
                  <w:r>
                    <w:rPr>
                      <w:rFonts w:hint="eastAsia" w:eastAsia="宋体"/>
                      <w:color w:val="auto"/>
                      <w:kern w:val="2"/>
                      <w:szCs w:val="21"/>
                      <w:lang w:val="en-US" w:eastAsia="zh-CN"/>
                    </w:rPr>
                    <w:t>34.48</w:t>
                  </w:r>
                </w:p>
              </w:tc>
              <w:tc>
                <w:tcPr>
                  <w:tcW w:w="484" w:type="pct"/>
                  <w:noWrap w:val="0"/>
                  <w:vAlign w:val="center"/>
                </w:tcPr>
                <w:p>
                  <w:pPr>
                    <w:pStyle w:val="38"/>
                    <w:spacing w:line="0" w:lineRule="atLeast"/>
                    <w:rPr>
                      <w:rFonts w:eastAsia="宋体"/>
                      <w:color w:val="auto"/>
                      <w:kern w:val="2"/>
                      <w:szCs w:val="21"/>
                      <w:lang w:val="en-US" w:eastAsia="zh-CN"/>
                    </w:rPr>
                  </w:pPr>
                  <w:r>
                    <w:rPr>
                      <w:rFonts w:hint="eastAsia" w:eastAsia="宋体"/>
                      <w:color w:val="auto"/>
                      <w:kern w:val="2"/>
                      <w:szCs w:val="21"/>
                      <w:lang w:val="en-US" w:eastAsia="zh-CN"/>
                    </w:rPr>
                    <w:t>0.45</w:t>
                  </w:r>
                </w:p>
              </w:tc>
              <w:tc>
                <w:tcPr>
                  <w:tcW w:w="488" w:type="pct"/>
                  <w:noWrap w:val="0"/>
                  <w:vAlign w:val="center"/>
                </w:tcPr>
                <w:p>
                  <w:pPr>
                    <w:adjustRightInd w:val="0"/>
                    <w:snapToGrid w:val="0"/>
                    <w:jc w:val="center"/>
                    <w:rPr>
                      <w:color w:val="auto"/>
                      <w:szCs w:val="21"/>
                    </w:rPr>
                  </w:pPr>
                  <w:r>
                    <w:rPr>
                      <w:rFonts w:hint="eastAsia"/>
                      <w:color w:val="auto"/>
                      <w:szCs w:val="21"/>
                    </w:rPr>
                    <w:t>0.78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244" w:type="pct"/>
                  <w:vMerge w:val="continue"/>
                  <w:noWrap w:val="0"/>
                  <w:vAlign w:val="center"/>
                </w:tcPr>
                <w:p>
                  <w:pPr>
                    <w:spacing w:line="0" w:lineRule="atLeast"/>
                    <w:jc w:val="center"/>
                    <w:rPr>
                      <w:color w:val="auto"/>
                      <w:szCs w:val="21"/>
                    </w:rPr>
                  </w:pPr>
                </w:p>
              </w:tc>
              <w:tc>
                <w:tcPr>
                  <w:tcW w:w="394" w:type="pct"/>
                  <w:noWrap w:val="0"/>
                  <w:vAlign w:val="center"/>
                </w:tcPr>
                <w:p>
                  <w:pPr>
                    <w:spacing w:line="0" w:lineRule="atLeast"/>
                    <w:jc w:val="center"/>
                    <w:rPr>
                      <w:color w:val="auto"/>
                      <w:szCs w:val="21"/>
                      <w:vertAlign w:val="subscript"/>
                    </w:rPr>
                  </w:pPr>
                  <w:r>
                    <w:rPr>
                      <w:rFonts w:hint="eastAsia"/>
                      <w:color w:val="auto"/>
                      <w:szCs w:val="21"/>
                    </w:rPr>
                    <w:t>SO</w:t>
                  </w:r>
                  <w:r>
                    <w:rPr>
                      <w:rFonts w:hint="eastAsia"/>
                      <w:color w:val="auto"/>
                      <w:szCs w:val="21"/>
                      <w:vertAlign w:val="subscript"/>
                    </w:rPr>
                    <w:t>2</w:t>
                  </w:r>
                </w:p>
              </w:tc>
              <w:tc>
                <w:tcPr>
                  <w:tcW w:w="511" w:type="pct"/>
                  <w:noWrap w:val="0"/>
                  <w:vAlign w:val="center"/>
                </w:tcPr>
                <w:p>
                  <w:pPr>
                    <w:pStyle w:val="38"/>
                    <w:spacing w:line="0" w:lineRule="atLeast"/>
                    <w:rPr>
                      <w:rFonts w:eastAsia="宋体"/>
                      <w:color w:val="auto"/>
                      <w:kern w:val="2"/>
                      <w:szCs w:val="21"/>
                      <w:lang w:val="en-US" w:eastAsia="zh-CN"/>
                    </w:rPr>
                  </w:pPr>
                  <w:r>
                    <w:rPr>
                      <w:rFonts w:hint="eastAsia" w:eastAsia="宋体"/>
                      <w:color w:val="auto"/>
                      <w:kern w:val="2"/>
                      <w:szCs w:val="21"/>
                      <w:lang w:val="en-US" w:eastAsia="zh-CN"/>
                    </w:rPr>
                    <w:t>105.58</w:t>
                  </w:r>
                </w:p>
              </w:tc>
              <w:tc>
                <w:tcPr>
                  <w:tcW w:w="400" w:type="pct"/>
                  <w:noWrap w:val="0"/>
                  <w:vAlign w:val="center"/>
                </w:tcPr>
                <w:p>
                  <w:pPr>
                    <w:pStyle w:val="38"/>
                    <w:spacing w:line="0" w:lineRule="atLeast"/>
                    <w:rPr>
                      <w:rFonts w:eastAsia="宋体"/>
                      <w:color w:val="auto"/>
                      <w:kern w:val="2"/>
                      <w:szCs w:val="21"/>
                      <w:lang w:val="en-US" w:eastAsia="zh-CN"/>
                    </w:rPr>
                  </w:pPr>
                  <w:r>
                    <w:rPr>
                      <w:rFonts w:hint="eastAsia" w:eastAsia="宋体"/>
                      <w:color w:val="auto"/>
                      <w:kern w:val="2"/>
                      <w:szCs w:val="21"/>
                      <w:lang w:val="en-US" w:eastAsia="zh-CN"/>
                    </w:rPr>
                    <w:t>2.38</w:t>
                  </w:r>
                </w:p>
              </w:tc>
              <w:tc>
                <w:tcPr>
                  <w:tcW w:w="308" w:type="pct"/>
                  <w:vMerge w:val="continue"/>
                  <w:noWrap w:val="0"/>
                  <w:vAlign w:val="center"/>
                </w:tcPr>
                <w:p>
                  <w:pPr>
                    <w:spacing w:line="0" w:lineRule="atLeast"/>
                    <w:jc w:val="center"/>
                    <w:rPr>
                      <w:color w:val="auto"/>
                      <w:szCs w:val="21"/>
                    </w:rPr>
                  </w:pPr>
                </w:p>
              </w:tc>
              <w:tc>
                <w:tcPr>
                  <w:tcW w:w="266" w:type="pct"/>
                  <w:vMerge w:val="continue"/>
                  <w:noWrap w:val="0"/>
                  <w:vAlign w:val="center"/>
                </w:tcPr>
                <w:p>
                  <w:pPr>
                    <w:spacing w:line="0" w:lineRule="atLeast"/>
                    <w:jc w:val="center"/>
                    <w:rPr>
                      <w:color w:val="auto"/>
                      <w:szCs w:val="21"/>
                    </w:rPr>
                  </w:pPr>
                </w:p>
              </w:tc>
              <w:tc>
                <w:tcPr>
                  <w:tcW w:w="408" w:type="pct"/>
                  <w:noWrap w:val="0"/>
                  <w:vAlign w:val="center"/>
                </w:tcPr>
                <w:p>
                  <w:pPr>
                    <w:pStyle w:val="37"/>
                    <w:spacing w:line="0" w:lineRule="atLeast"/>
                    <w:rPr>
                      <w:rFonts w:ascii="Times New Roman" w:hAnsi="Times New Roman" w:eastAsia="宋体"/>
                      <w:color w:val="auto"/>
                      <w:sz w:val="21"/>
                      <w:szCs w:val="21"/>
                    </w:rPr>
                  </w:pPr>
                  <w:r>
                    <w:rPr>
                      <w:rFonts w:ascii="Times New Roman" w:hAnsi="Times New Roman" w:eastAsia="宋体"/>
                      <w:color w:val="auto"/>
                      <w:sz w:val="21"/>
                      <w:szCs w:val="21"/>
                    </w:rPr>
                    <w:t>/</w:t>
                  </w:r>
                </w:p>
              </w:tc>
              <w:tc>
                <w:tcPr>
                  <w:tcW w:w="542" w:type="pct"/>
                  <w:noWrap w:val="0"/>
                  <w:vAlign w:val="center"/>
                </w:tcPr>
                <w:p>
                  <w:pPr>
                    <w:pStyle w:val="37"/>
                    <w:spacing w:line="0" w:lineRule="atLeast"/>
                    <w:rPr>
                      <w:rFonts w:ascii="Times New Roman" w:hAnsi="Times New Roman" w:eastAsia="宋体"/>
                      <w:color w:val="auto"/>
                      <w:sz w:val="21"/>
                      <w:szCs w:val="21"/>
                    </w:rPr>
                  </w:pPr>
                  <w:r>
                    <w:rPr>
                      <w:rFonts w:ascii="Times New Roman" w:hAnsi="Times New Roman" w:eastAsia="宋体"/>
                      <w:color w:val="auto"/>
                      <w:sz w:val="21"/>
                      <w:szCs w:val="21"/>
                    </w:rPr>
                    <w:t>/</w:t>
                  </w:r>
                </w:p>
              </w:tc>
              <w:tc>
                <w:tcPr>
                  <w:tcW w:w="471" w:type="pct"/>
                  <w:noWrap w:val="0"/>
                  <w:vAlign w:val="center"/>
                </w:tcPr>
                <w:p>
                  <w:pPr>
                    <w:spacing w:line="0" w:lineRule="atLeast"/>
                    <w:jc w:val="center"/>
                    <w:rPr>
                      <w:color w:val="auto"/>
                      <w:szCs w:val="21"/>
                    </w:rPr>
                  </w:pPr>
                  <w:r>
                    <w:rPr>
                      <w:color w:val="auto"/>
                      <w:szCs w:val="21"/>
                    </w:rPr>
                    <w:t>/</w:t>
                  </w:r>
                </w:p>
              </w:tc>
              <w:tc>
                <w:tcPr>
                  <w:tcW w:w="484" w:type="pct"/>
                  <w:noWrap w:val="0"/>
                  <w:vAlign w:val="center"/>
                </w:tcPr>
                <w:p>
                  <w:pPr>
                    <w:pStyle w:val="38"/>
                    <w:spacing w:line="0" w:lineRule="atLeast"/>
                    <w:rPr>
                      <w:rFonts w:eastAsia="宋体"/>
                      <w:color w:val="auto"/>
                      <w:kern w:val="2"/>
                      <w:szCs w:val="21"/>
                      <w:lang w:val="en-US" w:eastAsia="zh-CN"/>
                    </w:rPr>
                  </w:pPr>
                  <w:r>
                    <w:rPr>
                      <w:rFonts w:hint="eastAsia" w:eastAsia="宋体"/>
                      <w:color w:val="auto"/>
                      <w:kern w:val="2"/>
                      <w:szCs w:val="21"/>
                      <w:lang w:val="en-US" w:eastAsia="zh-CN"/>
                    </w:rPr>
                    <w:t>105.58</w:t>
                  </w:r>
                </w:p>
              </w:tc>
              <w:tc>
                <w:tcPr>
                  <w:tcW w:w="484" w:type="pct"/>
                  <w:noWrap w:val="0"/>
                  <w:vAlign w:val="center"/>
                </w:tcPr>
                <w:p>
                  <w:pPr>
                    <w:pStyle w:val="38"/>
                    <w:spacing w:line="0" w:lineRule="atLeast"/>
                    <w:rPr>
                      <w:rFonts w:eastAsia="宋体"/>
                      <w:color w:val="auto"/>
                      <w:kern w:val="2"/>
                      <w:szCs w:val="21"/>
                      <w:lang w:val="en-US" w:eastAsia="zh-CN"/>
                    </w:rPr>
                  </w:pPr>
                  <w:r>
                    <w:rPr>
                      <w:rFonts w:hint="eastAsia" w:eastAsia="宋体"/>
                      <w:color w:val="auto"/>
                      <w:kern w:val="2"/>
                      <w:szCs w:val="21"/>
                      <w:lang w:val="en-US" w:eastAsia="zh-CN"/>
                    </w:rPr>
                    <w:t>1.37</w:t>
                  </w:r>
                </w:p>
              </w:tc>
              <w:tc>
                <w:tcPr>
                  <w:tcW w:w="488" w:type="pct"/>
                  <w:noWrap w:val="0"/>
                  <w:vAlign w:val="center"/>
                </w:tcPr>
                <w:p>
                  <w:pPr>
                    <w:adjustRightInd w:val="0"/>
                    <w:snapToGrid w:val="0"/>
                    <w:jc w:val="center"/>
                    <w:rPr>
                      <w:color w:val="auto"/>
                      <w:szCs w:val="21"/>
                    </w:rPr>
                  </w:pPr>
                  <w:r>
                    <w:rPr>
                      <w:rFonts w:hint="eastAsia"/>
                      <w:color w:val="auto"/>
                      <w:szCs w:val="21"/>
                    </w:rPr>
                    <w:t>2.38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44" w:type="pct"/>
                  <w:vMerge w:val="continue"/>
                  <w:noWrap w:val="0"/>
                  <w:vAlign w:val="center"/>
                </w:tcPr>
                <w:p>
                  <w:pPr>
                    <w:spacing w:line="0" w:lineRule="atLeast"/>
                    <w:jc w:val="center"/>
                    <w:rPr>
                      <w:color w:val="auto"/>
                      <w:szCs w:val="21"/>
                    </w:rPr>
                  </w:pPr>
                </w:p>
              </w:tc>
              <w:tc>
                <w:tcPr>
                  <w:tcW w:w="394" w:type="pct"/>
                  <w:noWrap w:val="0"/>
                  <w:vAlign w:val="center"/>
                </w:tcPr>
                <w:p>
                  <w:pPr>
                    <w:pStyle w:val="37"/>
                    <w:spacing w:line="0" w:lineRule="atLeast"/>
                    <w:rPr>
                      <w:rFonts w:ascii="Times New Roman" w:hAnsi="Times New Roman" w:eastAsia="宋体"/>
                      <w:color w:val="auto"/>
                      <w:sz w:val="21"/>
                      <w:szCs w:val="21"/>
                      <w:vertAlign w:val="subscript"/>
                    </w:rPr>
                  </w:pPr>
                  <w:r>
                    <w:rPr>
                      <w:rFonts w:hint="eastAsia" w:ascii="Times New Roman" w:hAnsi="Times New Roman" w:eastAsia="宋体"/>
                      <w:color w:val="auto"/>
                      <w:sz w:val="21"/>
                      <w:szCs w:val="21"/>
                    </w:rPr>
                    <w:t>NO</w:t>
                  </w:r>
                  <w:r>
                    <w:rPr>
                      <w:rFonts w:hint="eastAsia" w:ascii="Times New Roman" w:hAnsi="Times New Roman" w:eastAsia="宋体"/>
                      <w:color w:val="auto"/>
                      <w:sz w:val="21"/>
                      <w:szCs w:val="21"/>
                      <w:vertAlign w:val="subscript"/>
                    </w:rPr>
                    <w:t>x</w:t>
                  </w:r>
                </w:p>
              </w:tc>
              <w:tc>
                <w:tcPr>
                  <w:tcW w:w="511" w:type="pct"/>
                  <w:noWrap w:val="0"/>
                  <w:vAlign w:val="center"/>
                </w:tcPr>
                <w:p>
                  <w:pPr>
                    <w:pStyle w:val="38"/>
                    <w:spacing w:line="0" w:lineRule="atLeast"/>
                    <w:rPr>
                      <w:rFonts w:eastAsia="宋体"/>
                      <w:color w:val="auto"/>
                      <w:kern w:val="2"/>
                      <w:szCs w:val="21"/>
                      <w:lang w:val="en-US" w:eastAsia="zh-CN"/>
                    </w:rPr>
                  </w:pPr>
                  <w:r>
                    <w:rPr>
                      <w:rFonts w:hint="eastAsia" w:eastAsia="宋体"/>
                      <w:color w:val="auto"/>
                      <w:kern w:val="2"/>
                      <w:szCs w:val="21"/>
                      <w:lang w:val="en-US" w:eastAsia="zh-CN"/>
                    </w:rPr>
                    <w:t>3</w:t>
                  </w:r>
                  <w:r>
                    <w:rPr>
                      <w:rFonts w:eastAsia="宋体"/>
                      <w:color w:val="auto"/>
                      <w:kern w:val="2"/>
                      <w:szCs w:val="21"/>
                      <w:lang w:val="en-US" w:eastAsia="zh-CN"/>
                    </w:rPr>
                    <w:t>00</w:t>
                  </w:r>
                </w:p>
              </w:tc>
              <w:tc>
                <w:tcPr>
                  <w:tcW w:w="400" w:type="pct"/>
                  <w:noWrap w:val="0"/>
                  <w:vAlign w:val="center"/>
                </w:tcPr>
                <w:p>
                  <w:pPr>
                    <w:pStyle w:val="38"/>
                    <w:spacing w:line="0" w:lineRule="atLeast"/>
                    <w:rPr>
                      <w:rFonts w:eastAsia="宋体"/>
                      <w:color w:val="auto"/>
                      <w:kern w:val="2"/>
                      <w:szCs w:val="21"/>
                      <w:lang w:val="en-US" w:eastAsia="zh-CN"/>
                    </w:rPr>
                  </w:pPr>
                  <w:r>
                    <w:rPr>
                      <w:rFonts w:hint="eastAsia" w:eastAsia="宋体"/>
                      <w:color w:val="auto"/>
                      <w:kern w:val="2"/>
                      <w:szCs w:val="21"/>
                      <w:lang w:val="en-US" w:eastAsia="zh-CN"/>
                    </w:rPr>
                    <w:t>5.6</w:t>
                  </w:r>
                </w:p>
              </w:tc>
              <w:tc>
                <w:tcPr>
                  <w:tcW w:w="308" w:type="pct"/>
                  <w:vMerge w:val="continue"/>
                  <w:noWrap w:val="0"/>
                  <w:vAlign w:val="center"/>
                </w:tcPr>
                <w:p>
                  <w:pPr>
                    <w:spacing w:line="0" w:lineRule="atLeast"/>
                    <w:jc w:val="center"/>
                    <w:rPr>
                      <w:color w:val="auto"/>
                      <w:szCs w:val="21"/>
                    </w:rPr>
                  </w:pPr>
                </w:p>
              </w:tc>
              <w:tc>
                <w:tcPr>
                  <w:tcW w:w="266" w:type="pct"/>
                  <w:vMerge w:val="continue"/>
                  <w:noWrap w:val="0"/>
                  <w:vAlign w:val="center"/>
                </w:tcPr>
                <w:p>
                  <w:pPr>
                    <w:spacing w:line="0" w:lineRule="atLeast"/>
                    <w:jc w:val="center"/>
                    <w:rPr>
                      <w:color w:val="auto"/>
                      <w:szCs w:val="21"/>
                    </w:rPr>
                  </w:pPr>
                </w:p>
              </w:tc>
              <w:tc>
                <w:tcPr>
                  <w:tcW w:w="408" w:type="pct"/>
                  <w:noWrap w:val="0"/>
                  <w:vAlign w:val="center"/>
                </w:tcPr>
                <w:p>
                  <w:pPr>
                    <w:pStyle w:val="37"/>
                    <w:spacing w:line="0" w:lineRule="atLeast"/>
                    <w:rPr>
                      <w:rFonts w:ascii="Times New Roman" w:hAnsi="Times New Roman" w:eastAsia="宋体"/>
                      <w:color w:val="auto"/>
                      <w:sz w:val="21"/>
                      <w:szCs w:val="21"/>
                    </w:rPr>
                  </w:pPr>
                  <w:r>
                    <w:rPr>
                      <w:rFonts w:ascii="Times New Roman" w:hAnsi="Times New Roman" w:eastAsia="宋体"/>
                      <w:color w:val="auto"/>
                      <w:sz w:val="21"/>
                      <w:szCs w:val="21"/>
                    </w:rPr>
                    <w:t>低氮燃烧</w:t>
                  </w:r>
                </w:p>
              </w:tc>
              <w:tc>
                <w:tcPr>
                  <w:tcW w:w="542" w:type="pct"/>
                  <w:noWrap w:val="0"/>
                  <w:vAlign w:val="center"/>
                </w:tcPr>
                <w:p>
                  <w:pPr>
                    <w:pStyle w:val="37"/>
                    <w:spacing w:line="0" w:lineRule="atLeast"/>
                    <w:rPr>
                      <w:rFonts w:ascii="Times New Roman" w:hAnsi="Times New Roman" w:eastAsia="宋体"/>
                      <w:color w:val="auto"/>
                      <w:sz w:val="21"/>
                      <w:szCs w:val="21"/>
                    </w:rPr>
                  </w:pPr>
                  <w:r>
                    <w:rPr>
                      <w:rFonts w:ascii="Times New Roman" w:hAnsi="Times New Roman" w:eastAsia="宋体"/>
                      <w:color w:val="auto"/>
                      <w:sz w:val="21"/>
                      <w:szCs w:val="21"/>
                    </w:rPr>
                    <w:t>30%</w:t>
                  </w:r>
                </w:p>
              </w:tc>
              <w:tc>
                <w:tcPr>
                  <w:tcW w:w="471" w:type="pct"/>
                  <w:noWrap w:val="0"/>
                  <w:vAlign w:val="center"/>
                </w:tcPr>
                <w:p>
                  <w:pPr>
                    <w:spacing w:line="0" w:lineRule="atLeast"/>
                    <w:jc w:val="center"/>
                    <w:rPr>
                      <w:color w:val="auto"/>
                      <w:szCs w:val="21"/>
                    </w:rPr>
                  </w:pPr>
                  <w:r>
                    <w:rPr>
                      <w:color w:val="auto"/>
                      <w:szCs w:val="21"/>
                    </w:rPr>
                    <w:t>是</w:t>
                  </w:r>
                </w:p>
              </w:tc>
              <w:tc>
                <w:tcPr>
                  <w:tcW w:w="484" w:type="pct"/>
                  <w:noWrap w:val="0"/>
                  <w:vAlign w:val="center"/>
                </w:tcPr>
                <w:p>
                  <w:pPr>
                    <w:pStyle w:val="38"/>
                    <w:spacing w:line="0" w:lineRule="atLeast"/>
                    <w:rPr>
                      <w:rFonts w:eastAsia="宋体"/>
                      <w:color w:val="auto"/>
                      <w:kern w:val="2"/>
                      <w:szCs w:val="21"/>
                      <w:lang w:val="en-US" w:eastAsia="zh-CN"/>
                    </w:rPr>
                  </w:pPr>
                  <w:r>
                    <w:rPr>
                      <w:rFonts w:hint="eastAsia" w:eastAsia="宋体"/>
                      <w:color w:val="auto"/>
                      <w:kern w:val="2"/>
                      <w:szCs w:val="21"/>
                      <w:lang w:val="en-US" w:eastAsia="zh-CN"/>
                    </w:rPr>
                    <w:t>210</w:t>
                  </w:r>
                </w:p>
              </w:tc>
              <w:tc>
                <w:tcPr>
                  <w:tcW w:w="484" w:type="pct"/>
                  <w:noWrap w:val="0"/>
                  <w:vAlign w:val="center"/>
                </w:tcPr>
                <w:p>
                  <w:pPr>
                    <w:pStyle w:val="38"/>
                    <w:spacing w:line="0" w:lineRule="atLeast"/>
                    <w:rPr>
                      <w:rFonts w:eastAsia="宋体"/>
                      <w:color w:val="auto"/>
                      <w:kern w:val="2"/>
                      <w:szCs w:val="21"/>
                      <w:lang w:val="en-US" w:eastAsia="zh-CN"/>
                    </w:rPr>
                  </w:pPr>
                  <w:r>
                    <w:rPr>
                      <w:rFonts w:hint="eastAsia" w:eastAsia="宋体"/>
                      <w:color w:val="auto"/>
                      <w:kern w:val="2"/>
                      <w:szCs w:val="21"/>
                      <w:lang w:val="en-US" w:eastAsia="zh-CN"/>
                    </w:rPr>
                    <w:t>2.24</w:t>
                  </w:r>
                </w:p>
              </w:tc>
              <w:tc>
                <w:tcPr>
                  <w:tcW w:w="488" w:type="pct"/>
                  <w:noWrap w:val="0"/>
                  <w:vAlign w:val="center"/>
                </w:tcPr>
                <w:p>
                  <w:pPr>
                    <w:adjustRightInd w:val="0"/>
                    <w:snapToGrid w:val="0"/>
                    <w:jc w:val="center"/>
                    <w:rPr>
                      <w:color w:val="auto"/>
                      <w:szCs w:val="21"/>
                    </w:rPr>
                  </w:pPr>
                  <w:r>
                    <w:rPr>
                      <w:rFonts w:hint="eastAsia"/>
                      <w:color w:val="auto"/>
                      <w:szCs w:val="21"/>
                    </w:rPr>
                    <w:t>3.92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44" w:type="pct"/>
                  <w:noWrap w:val="0"/>
                  <w:vAlign w:val="center"/>
                </w:tcPr>
                <w:p>
                  <w:pPr>
                    <w:spacing w:line="0" w:lineRule="atLeast"/>
                    <w:jc w:val="center"/>
                    <w:rPr>
                      <w:rFonts w:hint="eastAsia"/>
                      <w:color w:val="auto"/>
                      <w:szCs w:val="21"/>
                    </w:rPr>
                  </w:pPr>
                  <w:r>
                    <w:rPr>
                      <w:rFonts w:hint="eastAsia"/>
                      <w:color w:val="auto"/>
                      <w:szCs w:val="21"/>
                    </w:rPr>
                    <w:t>无组织</w:t>
                  </w:r>
                </w:p>
              </w:tc>
              <w:tc>
                <w:tcPr>
                  <w:tcW w:w="394" w:type="pct"/>
                  <w:noWrap w:val="0"/>
                  <w:vAlign w:val="center"/>
                </w:tcPr>
                <w:p>
                  <w:pPr>
                    <w:pStyle w:val="37"/>
                    <w:spacing w:line="0" w:lineRule="atLeast"/>
                    <w:rPr>
                      <w:rFonts w:hint="eastAsia" w:ascii="Times New Roman" w:hAnsi="Times New Roman" w:eastAsia="宋体"/>
                      <w:color w:val="auto"/>
                      <w:sz w:val="21"/>
                      <w:szCs w:val="21"/>
                    </w:rPr>
                  </w:pPr>
                  <w:r>
                    <w:rPr>
                      <w:rFonts w:hint="eastAsia" w:ascii="Times New Roman" w:hAnsi="Times New Roman" w:eastAsia="宋体"/>
                      <w:color w:val="auto"/>
                      <w:sz w:val="21"/>
                      <w:szCs w:val="21"/>
                    </w:rPr>
                    <w:t>颗粒物</w:t>
                  </w:r>
                </w:p>
              </w:tc>
              <w:tc>
                <w:tcPr>
                  <w:tcW w:w="511" w:type="pct"/>
                  <w:noWrap w:val="0"/>
                  <w:vAlign w:val="center"/>
                </w:tcPr>
                <w:p>
                  <w:pPr>
                    <w:pStyle w:val="38"/>
                    <w:spacing w:line="0" w:lineRule="atLeast"/>
                    <w:rPr>
                      <w:rFonts w:eastAsia="宋体"/>
                      <w:color w:val="auto"/>
                      <w:kern w:val="2"/>
                      <w:szCs w:val="21"/>
                      <w:lang w:val="en-US" w:eastAsia="zh-CN"/>
                    </w:rPr>
                  </w:pPr>
                  <w:r>
                    <w:rPr>
                      <w:rFonts w:hint="eastAsia" w:eastAsia="宋体"/>
                      <w:color w:val="auto"/>
                      <w:kern w:val="2"/>
                      <w:szCs w:val="21"/>
                      <w:lang w:val="en-US" w:eastAsia="zh-CN"/>
                    </w:rPr>
                    <w:t>/</w:t>
                  </w:r>
                </w:p>
              </w:tc>
              <w:tc>
                <w:tcPr>
                  <w:tcW w:w="400" w:type="pct"/>
                  <w:noWrap w:val="0"/>
                  <w:vAlign w:val="center"/>
                </w:tcPr>
                <w:p>
                  <w:pPr>
                    <w:pStyle w:val="38"/>
                    <w:spacing w:line="0" w:lineRule="atLeast"/>
                    <w:rPr>
                      <w:rFonts w:eastAsia="宋体"/>
                      <w:color w:val="auto"/>
                      <w:kern w:val="2"/>
                      <w:szCs w:val="21"/>
                      <w:lang w:val="en-US" w:eastAsia="zh-CN"/>
                    </w:rPr>
                  </w:pPr>
                  <w:r>
                    <w:rPr>
                      <w:rFonts w:hint="eastAsia"/>
                      <w:color w:val="auto"/>
                      <w:szCs w:val="21"/>
                    </w:rPr>
                    <w:t>1.67</w:t>
                  </w:r>
                </w:p>
              </w:tc>
              <w:tc>
                <w:tcPr>
                  <w:tcW w:w="308" w:type="pct"/>
                  <w:noWrap w:val="0"/>
                  <w:vAlign w:val="center"/>
                </w:tcPr>
                <w:p>
                  <w:pPr>
                    <w:spacing w:line="0" w:lineRule="atLeast"/>
                    <w:jc w:val="center"/>
                    <w:rPr>
                      <w:rFonts w:hint="eastAsia"/>
                      <w:color w:val="auto"/>
                      <w:szCs w:val="21"/>
                    </w:rPr>
                  </w:pPr>
                  <w:r>
                    <w:rPr>
                      <w:rFonts w:hint="eastAsia"/>
                      <w:color w:val="auto"/>
                      <w:szCs w:val="21"/>
                    </w:rPr>
                    <w:t>/</w:t>
                  </w:r>
                </w:p>
              </w:tc>
              <w:tc>
                <w:tcPr>
                  <w:tcW w:w="266" w:type="pct"/>
                  <w:noWrap w:val="0"/>
                  <w:vAlign w:val="center"/>
                </w:tcPr>
                <w:p>
                  <w:pPr>
                    <w:spacing w:line="0" w:lineRule="atLeast"/>
                    <w:jc w:val="center"/>
                    <w:rPr>
                      <w:rFonts w:hint="eastAsia"/>
                      <w:color w:val="auto"/>
                      <w:szCs w:val="21"/>
                    </w:rPr>
                  </w:pPr>
                  <w:r>
                    <w:rPr>
                      <w:rFonts w:hint="eastAsia"/>
                      <w:color w:val="auto"/>
                      <w:szCs w:val="21"/>
                    </w:rPr>
                    <w:t>无组织</w:t>
                  </w:r>
                </w:p>
              </w:tc>
              <w:tc>
                <w:tcPr>
                  <w:tcW w:w="408" w:type="pct"/>
                  <w:noWrap w:val="0"/>
                  <w:vAlign w:val="center"/>
                </w:tcPr>
                <w:p>
                  <w:pPr>
                    <w:pStyle w:val="37"/>
                    <w:spacing w:line="0" w:lineRule="atLeast"/>
                    <w:rPr>
                      <w:rFonts w:ascii="Times New Roman" w:hAnsi="Times New Roman" w:eastAsia="宋体"/>
                      <w:color w:val="auto"/>
                      <w:sz w:val="21"/>
                      <w:szCs w:val="21"/>
                    </w:rPr>
                  </w:pPr>
                  <w:r>
                    <w:rPr>
                      <w:rFonts w:hint="eastAsia" w:ascii="Times New Roman" w:hAnsi="Times New Roman" w:eastAsia="宋体"/>
                      <w:color w:val="auto"/>
                      <w:sz w:val="21"/>
                      <w:szCs w:val="21"/>
                    </w:rPr>
                    <w:t>防风抑尘网+苫布苫盖</w:t>
                  </w:r>
                </w:p>
              </w:tc>
              <w:tc>
                <w:tcPr>
                  <w:tcW w:w="542" w:type="pct"/>
                  <w:noWrap w:val="0"/>
                  <w:vAlign w:val="center"/>
                </w:tcPr>
                <w:p>
                  <w:pPr>
                    <w:pStyle w:val="37"/>
                    <w:spacing w:line="0" w:lineRule="atLeast"/>
                    <w:rPr>
                      <w:rFonts w:hint="eastAsia" w:ascii="Times New Roman" w:hAnsi="Times New Roman" w:eastAsia="宋体"/>
                      <w:color w:val="auto"/>
                      <w:sz w:val="21"/>
                      <w:szCs w:val="21"/>
                    </w:rPr>
                  </w:pPr>
                  <w:r>
                    <w:rPr>
                      <w:rFonts w:hint="eastAsia" w:ascii="Times New Roman" w:hAnsi="Times New Roman" w:eastAsia="宋体"/>
                      <w:color w:val="auto"/>
                      <w:sz w:val="21"/>
                      <w:szCs w:val="21"/>
                    </w:rPr>
                    <w:t>/</w:t>
                  </w:r>
                </w:p>
              </w:tc>
              <w:tc>
                <w:tcPr>
                  <w:tcW w:w="471" w:type="pct"/>
                  <w:noWrap w:val="0"/>
                  <w:vAlign w:val="center"/>
                </w:tcPr>
                <w:p>
                  <w:pPr>
                    <w:spacing w:line="0" w:lineRule="atLeast"/>
                    <w:jc w:val="center"/>
                    <w:rPr>
                      <w:rFonts w:hint="eastAsia"/>
                      <w:color w:val="auto"/>
                      <w:szCs w:val="21"/>
                    </w:rPr>
                  </w:pPr>
                  <w:r>
                    <w:rPr>
                      <w:rFonts w:hint="eastAsia"/>
                      <w:color w:val="auto"/>
                      <w:szCs w:val="21"/>
                    </w:rPr>
                    <w:t>/</w:t>
                  </w:r>
                </w:p>
              </w:tc>
              <w:tc>
                <w:tcPr>
                  <w:tcW w:w="484" w:type="pct"/>
                  <w:noWrap w:val="0"/>
                  <w:vAlign w:val="center"/>
                </w:tcPr>
                <w:p>
                  <w:pPr>
                    <w:pStyle w:val="38"/>
                    <w:spacing w:line="0" w:lineRule="atLeast"/>
                    <w:rPr>
                      <w:rFonts w:eastAsia="宋体"/>
                      <w:color w:val="auto"/>
                      <w:kern w:val="2"/>
                      <w:szCs w:val="21"/>
                      <w:lang w:val="en-US" w:eastAsia="zh-CN"/>
                    </w:rPr>
                  </w:pPr>
                  <w:r>
                    <w:rPr>
                      <w:rFonts w:hint="eastAsia" w:eastAsia="宋体"/>
                      <w:color w:val="auto"/>
                      <w:kern w:val="2"/>
                      <w:szCs w:val="21"/>
                      <w:lang w:val="en-US" w:eastAsia="zh-CN"/>
                    </w:rPr>
                    <w:t>/</w:t>
                  </w:r>
                </w:p>
              </w:tc>
              <w:tc>
                <w:tcPr>
                  <w:tcW w:w="484" w:type="pct"/>
                  <w:noWrap w:val="0"/>
                  <w:vAlign w:val="center"/>
                </w:tcPr>
                <w:p>
                  <w:pPr>
                    <w:pStyle w:val="38"/>
                    <w:spacing w:line="0" w:lineRule="atLeast"/>
                    <w:rPr>
                      <w:rFonts w:eastAsia="宋体"/>
                      <w:color w:val="auto"/>
                      <w:kern w:val="2"/>
                      <w:szCs w:val="21"/>
                      <w:lang w:val="en-US" w:eastAsia="zh-CN"/>
                    </w:rPr>
                  </w:pPr>
                  <w:r>
                    <w:rPr>
                      <w:rFonts w:hint="eastAsia" w:eastAsia="宋体"/>
                      <w:color w:val="auto"/>
                      <w:kern w:val="2"/>
                      <w:szCs w:val="21"/>
                      <w:lang w:val="en-US" w:eastAsia="zh-CN"/>
                    </w:rPr>
                    <w:t>0.85</w:t>
                  </w:r>
                </w:p>
              </w:tc>
              <w:tc>
                <w:tcPr>
                  <w:tcW w:w="488" w:type="pct"/>
                  <w:noWrap w:val="0"/>
                  <w:vAlign w:val="center"/>
                </w:tcPr>
                <w:p>
                  <w:pPr>
                    <w:adjustRightInd w:val="0"/>
                    <w:snapToGrid w:val="0"/>
                    <w:jc w:val="center"/>
                    <w:rPr>
                      <w:color w:val="auto"/>
                      <w:szCs w:val="21"/>
                    </w:rPr>
                  </w:pPr>
                  <w:r>
                    <w:rPr>
                      <w:rFonts w:hint="eastAsia"/>
                      <w:color w:val="auto"/>
                      <w:szCs w:val="21"/>
                    </w:rPr>
                    <w:t>1.67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5000" w:type="pct"/>
                  <w:gridSpan w:val="12"/>
                  <w:noWrap w:val="0"/>
                  <w:vAlign w:val="top"/>
                </w:tcPr>
                <w:p>
                  <w:pPr>
                    <w:pStyle w:val="38"/>
                    <w:spacing w:line="0" w:lineRule="atLeast"/>
                    <w:jc w:val="left"/>
                    <w:rPr>
                      <w:rFonts w:eastAsia="宋体"/>
                      <w:color w:val="auto"/>
                      <w:kern w:val="2"/>
                      <w:sz w:val="18"/>
                      <w:szCs w:val="18"/>
                      <w:lang w:val="en-US" w:eastAsia="zh-CN"/>
                    </w:rPr>
                  </w:pPr>
                  <w:r>
                    <w:rPr>
                      <w:rFonts w:hAnsi="宋体" w:eastAsia="宋体"/>
                      <w:color w:val="auto"/>
                      <w:sz w:val="18"/>
                      <w:szCs w:val="18"/>
                      <w:lang w:val="en-US" w:eastAsia="zh-CN"/>
                    </w:rPr>
                    <w:t>可行性技术说明：根据《排污许可证申请与核发技术规范</w:t>
                  </w:r>
                  <w:r>
                    <w:rPr>
                      <w:rFonts w:eastAsia="宋体"/>
                      <w:color w:val="auto"/>
                      <w:sz w:val="18"/>
                      <w:szCs w:val="18"/>
                      <w:lang w:val="en-US" w:eastAsia="zh-CN"/>
                    </w:rPr>
                    <w:t xml:space="preserve"> </w:t>
                  </w:r>
                  <w:r>
                    <w:rPr>
                      <w:rFonts w:hAnsi="宋体" w:eastAsia="宋体"/>
                      <w:color w:val="auto"/>
                      <w:sz w:val="18"/>
                      <w:szCs w:val="18"/>
                      <w:lang w:val="en-US" w:eastAsia="zh-CN"/>
                    </w:rPr>
                    <w:t>锅炉》（</w:t>
                  </w:r>
                  <w:r>
                    <w:rPr>
                      <w:rFonts w:eastAsia="宋体"/>
                      <w:color w:val="auto"/>
                      <w:sz w:val="18"/>
                      <w:szCs w:val="18"/>
                      <w:lang w:val="en-US" w:eastAsia="zh-CN"/>
                    </w:rPr>
                    <w:t>HJ953-2018</w:t>
                  </w:r>
                  <w:r>
                    <w:rPr>
                      <w:rFonts w:hAnsi="宋体" w:eastAsia="宋体"/>
                      <w:color w:val="auto"/>
                      <w:sz w:val="18"/>
                      <w:szCs w:val="18"/>
                      <w:lang w:val="en-US" w:eastAsia="zh-CN"/>
                    </w:rPr>
                    <w:t>）中可知生物质锅炉颗粒物治理技术中低氮燃烧、陶瓷多管除尘和袋式除尘组合技术为可行性技术。根据《锅炉产排污量核算系数手册》中污染物排放量核算案例，颗粒物袋式除尘平均去除效率为</w:t>
                  </w:r>
                  <w:r>
                    <w:rPr>
                      <w:rFonts w:eastAsia="宋体"/>
                      <w:color w:val="auto"/>
                      <w:sz w:val="18"/>
                      <w:szCs w:val="18"/>
                      <w:lang w:val="en-US" w:eastAsia="zh-CN"/>
                    </w:rPr>
                    <w:t>99.6%</w:t>
                  </w:r>
                  <w:r>
                    <w:rPr>
                      <w:rFonts w:hAnsi="宋体" w:eastAsia="宋体"/>
                      <w:color w:val="auto"/>
                      <w:sz w:val="18"/>
                      <w:szCs w:val="18"/>
                      <w:lang w:val="en-US" w:eastAsia="zh-CN"/>
                    </w:rPr>
                    <w:t>；根据《锅炉产排污量核算系数手册》生物质散烧低氮燃烧技术去除效率为</w:t>
                  </w:r>
                  <w:r>
                    <w:rPr>
                      <w:rFonts w:eastAsia="宋体"/>
                      <w:color w:val="auto"/>
                      <w:sz w:val="18"/>
                      <w:szCs w:val="18"/>
                      <w:lang w:val="en-US" w:eastAsia="zh-CN"/>
                    </w:rPr>
                    <w:t>30%</w:t>
                  </w:r>
                </w:p>
              </w:tc>
            </w:tr>
          </w:tbl>
          <w:p>
            <w:pPr>
              <w:spacing w:line="360" w:lineRule="auto"/>
              <w:jc w:val="center"/>
              <w:rPr>
                <w:rFonts w:hint="eastAsia"/>
                <w:b/>
                <w:bCs/>
                <w:color w:val="auto"/>
                <w:sz w:val="24"/>
              </w:rPr>
            </w:pPr>
          </w:p>
          <w:p>
            <w:pPr>
              <w:spacing w:line="360" w:lineRule="auto"/>
              <w:jc w:val="center"/>
              <w:rPr>
                <w:rFonts w:hint="eastAsia"/>
                <w:b/>
                <w:bCs/>
                <w:color w:val="auto"/>
                <w:sz w:val="24"/>
              </w:rPr>
            </w:pPr>
          </w:p>
          <w:p>
            <w:pPr>
              <w:spacing w:line="360" w:lineRule="auto"/>
              <w:jc w:val="center"/>
              <w:rPr>
                <w:rFonts w:hint="eastAsia"/>
                <w:b/>
                <w:bCs/>
                <w:color w:val="auto"/>
                <w:sz w:val="24"/>
              </w:rPr>
            </w:pPr>
          </w:p>
          <w:p>
            <w:pPr>
              <w:spacing w:line="360" w:lineRule="auto"/>
              <w:jc w:val="center"/>
              <w:rPr>
                <w:b/>
                <w:bCs/>
                <w:color w:val="auto"/>
                <w:sz w:val="24"/>
              </w:rPr>
            </w:pPr>
            <w:r>
              <w:rPr>
                <w:b/>
                <w:bCs/>
                <w:color w:val="auto"/>
                <w:sz w:val="24"/>
              </w:rPr>
              <w:t>表4-2废气排放口基本情况一览表</w:t>
            </w:r>
          </w:p>
          <w:tbl>
            <w:tblPr>
              <w:tblStyle w:val="15"/>
              <w:tblW w:w="484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331"/>
              <w:gridCol w:w="898"/>
              <w:gridCol w:w="898"/>
              <w:gridCol w:w="948"/>
              <w:gridCol w:w="874"/>
              <w:gridCol w:w="185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noWrap w:val="0"/>
                  <w:vAlign w:val="center"/>
                </w:tcPr>
                <w:p>
                  <w:pPr>
                    <w:spacing w:line="0" w:lineRule="atLeast"/>
                    <w:jc w:val="center"/>
                    <w:rPr>
                      <w:color w:val="auto"/>
                      <w:szCs w:val="21"/>
                    </w:rPr>
                  </w:pPr>
                  <w:r>
                    <w:rPr>
                      <w:color w:val="auto"/>
                      <w:szCs w:val="21"/>
                    </w:rPr>
                    <w:t>编号</w:t>
                  </w:r>
                </w:p>
              </w:tc>
              <w:tc>
                <w:tcPr>
                  <w:tcW w:w="865" w:type="pct"/>
                  <w:noWrap w:val="0"/>
                  <w:vAlign w:val="center"/>
                </w:tcPr>
                <w:p>
                  <w:pPr>
                    <w:spacing w:line="0" w:lineRule="atLeast"/>
                    <w:jc w:val="center"/>
                    <w:rPr>
                      <w:color w:val="auto"/>
                      <w:szCs w:val="21"/>
                    </w:rPr>
                  </w:pPr>
                  <w:r>
                    <w:rPr>
                      <w:color w:val="auto"/>
                      <w:szCs w:val="21"/>
                    </w:rPr>
                    <w:t>排放口名称</w:t>
                  </w:r>
                </w:p>
              </w:tc>
              <w:tc>
                <w:tcPr>
                  <w:tcW w:w="585" w:type="pct"/>
                  <w:noWrap w:val="0"/>
                  <w:vAlign w:val="center"/>
                </w:tcPr>
                <w:p>
                  <w:pPr>
                    <w:spacing w:line="0" w:lineRule="atLeast"/>
                    <w:jc w:val="center"/>
                    <w:rPr>
                      <w:color w:val="auto"/>
                      <w:szCs w:val="21"/>
                    </w:rPr>
                  </w:pPr>
                  <w:r>
                    <w:rPr>
                      <w:color w:val="auto"/>
                      <w:szCs w:val="21"/>
                    </w:rPr>
                    <w:t>高度/m</w:t>
                  </w:r>
                </w:p>
              </w:tc>
              <w:tc>
                <w:tcPr>
                  <w:tcW w:w="585" w:type="pct"/>
                  <w:noWrap w:val="0"/>
                  <w:vAlign w:val="center"/>
                </w:tcPr>
                <w:p>
                  <w:pPr>
                    <w:spacing w:line="0" w:lineRule="atLeast"/>
                    <w:jc w:val="center"/>
                    <w:rPr>
                      <w:color w:val="auto"/>
                      <w:szCs w:val="21"/>
                    </w:rPr>
                  </w:pPr>
                  <w:r>
                    <w:rPr>
                      <w:color w:val="auto"/>
                      <w:szCs w:val="21"/>
                    </w:rPr>
                    <w:t>内径/m</w:t>
                  </w:r>
                </w:p>
              </w:tc>
              <w:tc>
                <w:tcPr>
                  <w:tcW w:w="617" w:type="pct"/>
                  <w:noWrap w:val="0"/>
                  <w:vAlign w:val="center"/>
                </w:tcPr>
                <w:p>
                  <w:pPr>
                    <w:spacing w:line="0" w:lineRule="atLeast"/>
                    <w:jc w:val="center"/>
                    <w:rPr>
                      <w:color w:val="auto"/>
                      <w:szCs w:val="21"/>
                    </w:rPr>
                  </w:pPr>
                  <w:r>
                    <w:rPr>
                      <w:color w:val="auto"/>
                      <w:szCs w:val="21"/>
                    </w:rPr>
                    <w:t>温度/℃</w:t>
                  </w:r>
                </w:p>
              </w:tc>
              <w:tc>
                <w:tcPr>
                  <w:tcW w:w="569" w:type="pct"/>
                  <w:noWrap w:val="0"/>
                  <w:vAlign w:val="center"/>
                </w:tcPr>
                <w:p>
                  <w:pPr>
                    <w:spacing w:line="0" w:lineRule="atLeast"/>
                    <w:jc w:val="center"/>
                    <w:rPr>
                      <w:color w:val="auto"/>
                      <w:szCs w:val="21"/>
                    </w:rPr>
                  </w:pPr>
                  <w:r>
                    <w:rPr>
                      <w:color w:val="auto"/>
                      <w:szCs w:val="21"/>
                    </w:rPr>
                    <w:t>类型</w:t>
                  </w:r>
                </w:p>
              </w:tc>
              <w:tc>
                <w:tcPr>
                  <w:tcW w:w="1204" w:type="pct"/>
                  <w:noWrap w:val="0"/>
                  <w:vAlign w:val="center"/>
                </w:tcPr>
                <w:p>
                  <w:pPr>
                    <w:spacing w:line="0" w:lineRule="atLeast"/>
                    <w:jc w:val="center"/>
                    <w:rPr>
                      <w:color w:val="auto"/>
                      <w:szCs w:val="21"/>
                    </w:rPr>
                  </w:pPr>
                  <w:r>
                    <w:rPr>
                      <w:color w:val="auto"/>
                      <w:szCs w:val="21"/>
                    </w:rPr>
                    <w:t>地理坐标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noWrap w:val="0"/>
                  <w:vAlign w:val="center"/>
                </w:tcPr>
                <w:p>
                  <w:pPr>
                    <w:spacing w:line="0" w:lineRule="atLeast"/>
                    <w:jc w:val="center"/>
                    <w:rPr>
                      <w:color w:val="auto"/>
                      <w:szCs w:val="21"/>
                    </w:rPr>
                  </w:pPr>
                  <w:r>
                    <w:rPr>
                      <w:color w:val="auto"/>
                      <w:szCs w:val="21"/>
                    </w:rPr>
                    <w:t>DA001</w:t>
                  </w:r>
                </w:p>
              </w:tc>
              <w:tc>
                <w:tcPr>
                  <w:tcW w:w="865" w:type="pct"/>
                  <w:noWrap w:val="0"/>
                  <w:vAlign w:val="center"/>
                </w:tcPr>
                <w:p>
                  <w:pPr>
                    <w:spacing w:line="0" w:lineRule="atLeast"/>
                    <w:jc w:val="center"/>
                    <w:rPr>
                      <w:color w:val="auto"/>
                      <w:szCs w:val="21"/>
                    </w:rPr>
                  </w:pPr>
                  <w:r>
                    <w:rPr>
                      <w:color w:val="auto"/>
                      <w:szCs w:val="21"/>
                    </w:rPr>
                    <w:t>锅炉烟囱</w:t>
                  </w:r>
                </w:p>
              </w:tc>
              <w:tc>
                <w:tcPr>
                  <w:tcW w:w="585" w:type="pct"/>
                  <w:noWrap w:val="0"/>
                  <w:vAlign w:val="center"/>
                </w:tcPr>
                <w:p>
                  <w:pPr>
                    <w:spacing w:line="0" w:lineRule="atLeast"/>
                    <w:jc w:val="center"/>
                    <w:rPr>
                      <w:color w:val="auto"/>
                      <w:szCs w:val="21"/>
                    </w:rPr>
                  </w:pPr>
                  <w:r>
                    <w:rPr>
                      <w:rFonts w:hint="eastAsia"/>
                      <w:color w:val="auto"/>
                      <w:szCs w:val="21"/>
                    </w:rPr>
                    <w:t>40</w:t>
                  </w:r>
                </w:p>
              </w:tc>
              <w:tc>
                <w:tcPr>
                  <w:tcW w:w="585" w:type="pct"/>
                  <w:noWrap w:val="0"/>
                  <w:vAlign w:val="center"/>
                </w:tcPr>
                <w:p>
                  <w:pPr>
                    <w:spacing w:line="0" w:lineRule="atLeast"/>
                    <w:jc w:val="center"/>
                    <w:rPr>
                      <w:color w:val="auto"/>
                      <w:szCs w:val="21"/>
                    </w:rPr>
                  </w:pPr>
                  <w:r>
                    <w:rPr>
                      <w:rFonts w:hint="eastAsia"/>
                      <w:color w:val="auto"/>
                      <w:szCs w:val="21"/>
                    </w:rPr>
                    <w:t>1</w:t>
                  </w:r>
                </w:p>
              </w:tc>
              <w:tc>
                <w:tcPr>
                  <w:tcW w:w="617" w:type="pct"/>
                  <w:noWrap w:val="0"/>
                  <w:vAlign w:val="center"/>
                </w:tcPr>
                <w:p>
                  <w:pPr>
                    <w:spacing w:line="0" w:lineRule="atLeast"/>
                    <w:jc w:val="center"/>
                    <w:rPr>
                      <w:color w:val="auto"/>
                      <w:szCs w:val="21"/>
                    </w:rPr>
                  </w:pPr>
                  <w:r>
                    <w:rPr>
                      <w:color w:val="auto"/>
                      <w:szCs w:val="21"/>
                    </w:rPr>
                    <w:t>100</w:t>
                  </w:r>
                </w:p>
              </w:tc>
              <w:tc>
                <w:tcPr>
                  <w:tcW w:w="569" w:type="pct"/>
                  <w:noWrap w:val="0"/>
                  <w:vAlign w:val="center"/>
                </w:tcPr>
                <w:p>
                  <w:pPr>
                    <w:spacing w:line="0" w:lineRule="atLeast"/>
                    <w:jc w:val="center"/>
                    <w:rPr>
                      <w:color w:val="auto"/>
                      <w:szCs w:val="21"/>
                    </w:rPr>
                  </w:pPr>
                  <w:r>
                    <w:rPr>
                      <w:color w:val="auto"/>
                      <w:szCs w:val="21"/>
                    </w:rPr>
                    <w:t>一般排放口</w:t>
                  </w:r>
                </w:p>
              </w:tc>
              <w:tc>
                <w:tcPr>
                  <w:tcW w:w="1204" w:type="pct"/>
                  <w:noWrap w:val="0"/>
                  <w:vAlign w:val="center"/>
                </w:tcPr>
                <w:p>
                  <w:pPr>
                    <w:spacing w:line="0" w:lineRule="atLeast"/>
                    <w:jc w:val="center"/>
                    <w:rPr>
                      <w:color w:val="auto"/>
                      <w:szCs w:val="21"/>
                    </w:rPr>
                  </w:pPr>
                  <w:r>
                    <w:rPr>
                      <w:color w:val="auto"/>
                      <w:szCs w:val="21"/>
                    </w:rPr>
                    <w:t>E：127°</w:t>
                  </w:r>
                  <w:r>
                    <w:rPr>
                      <w:rFonts w:hint="eastAsia"/>
                      <w:color w:val="auto"/>
                      <w:szCs w:val="21"/>
                    </w:rPr>
                    <w:t>12</w:t>
                  </w:r>
                  <w:r>
                    <w:rPr>
                      <w:color w:val="auto"/>
                      <w:szCs w:val="21"/>
                    </w:rPr>
                    <w:t>′</w:t>
                  </w:r>
                  <w:r>
                    <w:rPr>
                      <w:rFonts w:hint="eastAsia"/>
                      <w:color w:val="auto"/>
                      <w:szCs w:val="21"/>
                    </w:rPr>
                    <w:t>24.81</w:t>
                  </w:r>
                  <w:r>
                    <w:rPr>
                      <w:color w:val="auto"/>
                      <w:szCs w:val="21"/>
                    </w:rPr>
                    <w:t>″</w:t>
                  </w:r>
                </w:p>
                <w:p>
                  <w:pPr>
                    <w:spacing w:line="0" w:lineRule="atLeast"/>
                    <w:jc w:val="center"/>
                    <w:rPr>
                      <w:color w:val="auto"/>
                      <w:szCs w:val="21"/>
                    </w:rPr>
                  </w:pPr>
                  <w:r>
                    <w:rPr>
                      <w:color w:val="auto"/>
                      <w:szCs w:val="21"/>
                    </w:rPr>
                    <w:t>N：46°</w:t>
                  </w:r>
                  <w:r>
                    <w:rPr>
                      <w:rFonts w:hint="eastAsia"/>
                      <w:color w:val="auto"/>
                      <w:szCs w:val="21"/>
                    </w:rPr>
                    <w:t>44</w:t>
                  </w:r>
                  <w:r>
                    <w:rPr>
                      <w:color w:val="auto"/>
                      <w:szCs w:val="21"/>
                    </w:rPr>
                    <w:t>′</w:t>
                  </w:r>
                  <w:r>
                    <w:rPr>
                      <w:rFonts w:hint="eastAsia"/>
                      <w:color w:val="auto"/>
                      <w:szCs w:val="21"/>
                    </w:rPr>
                    <w:t>38.58</w:t>
                  </w:r>
                  <w:r>
                    <w:rPr>
                      <w:color w:val="auto"/>
                      <w:szCs w:val="21"/>
                    </w:rPr>
                    <w:t>″</w:t>
                  </w:r>
                </w:p>
              </w:tc>
            </w:tr>
          </w:tbl>
          <w:p>
            <w:pPr>
              <w:pStyle w:val="36"/>
              <w:autoSpaceDE w:val="0"/>
              <w:ind w:firstLine="482"/>
              <w:rPr>
                <w:b/>
                <w:bCs/>
                <w:color w:val="auto"/>
                <w:sz w:val="24"/>
                <w:lang w:val="en-US" w:eastAsia="zh-CN"/>
              </w:rPr>
            </w:pPr>
            <w:r>
              <w:rPr>
                <w:b/>
                <w:bCs/>
                <w:color w:val="auto"/>
                <w:sz w:val="24"/>
                <w:lang w:val="en-US" w:eastAsia="zh-CN"/>
              </w:rPr>
              <w:t>锅炉烟气量计算</w:t>
            </w:r>
          </w:p>
          <w:p>
            <w:pPr>
              <w:spacing w:line="360" w:lineRule="auto"/>
              <w:ind w:firstLine="480" w:firstLineChars="200"/>
              <w:rPr>
                <w:color w:val="auto"/>
                <w:sz w:val="24"/>
              </w:rPr>
            </w:pPr>
            <w:r>
              <w:rPr>
                <w:color w:val="auto"/>
                <w:sz w:val="24"/>
              </w:rPr>
              <w:t>生物质锅炉烟气量</w:t>
            </w:r>
            <w:r>
              <w:rPr>
                <w:rFonts w:hint="eastAsia"/>
                <w:color w:val="auto"/>
                <w:sz w:val="24"/>
              </w:rPr>
              <w:t>根据</w:t>
            </w:r>
            <w:r>
              <w:rPr>
                <w:color w:val="auto"/>
                <w:sz w:val="24"/>
              </w:rPr>
              <w:t>《污染源源强核算技术指南 锅炉》</w:t>
            </w:r>
            <w:r>
              <w:rPr>
                <w:rFonts w:hint="eastAsia"/>
                <w:color w:val="auto"/>
                <w:sz w:val="24"/>
              </w:rPr>
              <w:t>（</w:t>
            </w:r>
            <w:r>
              <w:rPr>
                <w:color w:val="auto"/>
                <w:sz w:val="24"/>
              </w:rPr>
              <w:t>HJ991</w:t>
            </w:r>
            <w:r>
              <w:rPr>
                <w:rFonts w:hint="eastAsia"/>
                <w:color w:val="auto"/>
                <w:sz w:val="24"/>
              </w:rPr>
              <w:t>-</w:t>
            </w:r>
            <w:r>
              <w:rPr>
                <w:color w:val="auto"/>
                <w:sz w:val="24"/>
              </w:rPr>
              <w:t>2018</w:t>
            </w:r>
            <w:r>
              <w:rPr>
                <w:rFonts w:hint="eastAsia"/>
                <w:color w:val="auto"/>
                <w:sz w:val="24"/>
              </w:rPr>
              <w:t>）</w:t>
            </w:r>
            <w:r>
              <w:rPr>
                <w:color w:val="auto"/>
                <w:sz w:val="24"/>
              </w:rPr>
              <w:t>附录C</w:t>
            </w:r>
            <w:r>
              <w:rPr>
                <w:rFonts w:hint="eastAsia"/>
                <w:color w:val="auto"/>
                <w:sz w:val="24"/>
              </w:rPr>
              <w:t>进行</w:t>
            </w:r>
            <w:r>
              <w:rPr>
                <w:color w:val="auto"/>
                <w:sz w:val="24"/>
              </w:rPr>
              <w:t>计算：</w:t>
            </w:r>
          </w:p>
          <w:p>
            <w:pPr>
              <w:autoSpaceDE w:val="0"/>
              <w:autoSpaceDN w:val="0"/>
              <w:adjustRightInd w:val="0"/>
              <w:spacing w:line="360" w:lineRule="auto"/>
              <w:ind w:firstLine="480" w:firstLineChars="200"/>
              <w:textAlignment w:val="baseline"/>
              <w:rPr>
                <w:color w:val="auto"/>
                <w:kern w:val="0"/>
                <w:sz w:val="24"/>
              </w:rPr>
            </w:pPr>
            <w:r>
              <w:rPr>
                <w:rFonts w:hint="eastAsia" w:ascii="宋体" w:hAnsi="宋体" w:cs="宋体"/>
                <w:color w:val="auto"/>
                <w:kern w:val="0"/>
                <w:sz w:val="24"/>
              </w:rPr>
              <w:t>①</w:t>
            </w:r>
            <w:r>
              <w:rPr>
                <w:color w:val="auto"/>
                <w:kern w:val="0"/>
                <w:sz w:val="24"/>
              </w:rPr>
              <w:t>烟气量计算</w:t>
            </w:r>
          </w:p>
          <w:p>
            <w:pPr>
              <w:autoSpaceDE w:val="0"/>
              <w:autoSpaceDN w:val="0"/>
              <w:adjustRightInd w:val="0"/>
              <w:spacing w:line="360" w:lineRule="auto"/>
              <w:ind w:firstLine="480" w:firstLineChars="200"/>
              <w:textAlignment w:val="baseline"/>
              <w:rPr>
                <w:color w:val="auto"/>
                <w:kern w:val="0"/>
                <w:sz w:val="24"/>
              </w:rPr>
            </w:pPr>
            <w:r>
              <w:rPr>
                <w:color w:val="auto"/>
                <w:kern w:val="0"/>
                <w:sz w:val="24"/>
              </w:rPr>
              <w:t>理论空气量：</w:t>
            </w:r>
          </w:p>
          <w:p>
            <w:pPr>
              <w:autoSpaceDE w:val="0"/>
              <w:autoSpaceDN w:val="0"/>
              <w:adjustRightInd w:val="0"/>
              <w:spacing w:line="360" w:lineRule="auto"/>
              <w:ind w:firstLine="480" w:firstLineChars="200"/>
              <w:jc w:val="center"/>
              <w:textAlignment w:val="baseline"/>
              <w:rPr>
                <w:color w:val="auto"/>
                <w:kern w:val="0"/>
                <w:sz w:val="24"/>
              </w:rPr>
            </w:pPr>
            <w:r>
              <w:rPr>
                <w:color w:val="auto"/>
                <w:kern w:val="0"/>
                <w:sz w:val="24"/>
              </w:rPr>
              <w:drawing>
                <wp:inline distT="0" distB="0" distL="114300" distR="114300">
                  <wp:extent cx="3867785" cy="342900"/>
                  <wp:effectExtent l="0" t="0" r="3175" b="7620"/>
                  <wp:docPr id="139" name="图片 6" descr="1693999626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6" descr="1693999626120"/>
                          <pic:cNvPicPr>
                            <a:picLocks noChangeAspect="1"/>
                          </pic:cNvPicPr>
                        </pic:nvPicPr>
                        <pic:blipFill>
                          <a:blip r:embed="rId9"/>
                          <a:stretch>
                            <a:fillRect/>
                          </a:stretch>
                        </pic:blipFill>
                        <pic:spPr>
                          <a:xfrm>
                            <a:off x="0" y="0"/>
                            <a:ext cx="3867785" cy="342900"/>
                          </a:xfrm>
                          <a:prstGeom prst="rect">
                            <a:avLst/>
                          </a:prstGeom>
                          <a:noFill/>
                          <a:ln>
                            <a:noFill/>
                          </a:ln>
                        </pic:spPr>
                      </pic:pic>
                    </a:graphicData>
                  </a:graphic>
                </wp:inline>
              </w:drawing>
            </w:r>
          </w:p>
          <w:p>
            <w:pPr>
              <w:widowControl/>
              <w:shd w:val="clear" w:color="auto" w:fill="FFFFFF"/>
              <w:spacing w:line="360" w:lineRule="auto"/>
              <w:ind w:firstLine="480" w:firstLineChars="200"/>
              <w:jc w:val="left"/>
              <w:rPr>
                <w:color w:val="auto"/>
                <w:kern w:val="0"/>
                <w:sz w:val="24"/>
              </w:rPr>
            </w:pPr>
            <w:r>
              <w:rPr>
                <w:color w:val="auto"/>
                <w:kern w:val="0"/>
                <w:sz w:val="24"/>
              </w:rPr>
              <w:t>式中：V</w:t>
            </w:r>
            <w:r>
              <w:rPr>
                <w:color w:val="auto"/>
                <w:kern w:val="0"/>
                <w:sz w:val="24"/>
                <w:vertAlign w:val="subscript"/>
              </w:rPr>
              <w:t>0</w:t>
            </w:r>
            <w:r>
              <w:rPr>
                <w:color w:val="auto"/>
                <w:kern w:val="0"/>
                <w:sz w:val="24"/>
              </w:rPr>
              <w:t>—理论空气量，m</w:t>
            </w:r>
            <w:r>
              <w:rPr>
                <w:color w:val="auto"/>
                <w:kern w:val="0"/>
                <w:sz w:val="24"/>
                <w:vertAlign w:val="superscript"/>
              </w:rPr>
              <w:t>3</w:t>
            </w:r>
            <w:r>
              <w:rPr>
                <w:color w:val="auto"/>
                <w:kern w:val="0"/>
                <w:sz w:val="24"/>
              </w:rPr>
              <w:t>/kg；</w:t>
            </w:r>
          </w:p>
          <w:p>
            <w:pPr>
              <w:widowControl/>
              <w:shd w:val="clear" w:color="auto" w:fill="FFFFFF"/>
              <w:spacing w:line="360" w:lineRule="auto"/>
              <w:ind w:firstLine="1149" w:firstLineChars="479"/>
              <w:jc w:val="left"/>
              <w:rPr>
                <w:color w:val="auto"/>
                <w:kern w:val="0"/>
                <w:sz w:val="24"/>
              </w:rPr>
            </w:pPr>
            <w:r>
              <w:rPr>
                <w:color w:val="auto"/>
                <w:kern w:val="0"/>
                <w:sz w:val="24"/>
              </w:rPr>
              <w:t>C</w:t>
            </w:r>
            <w:r>
              <w:rPr>
                <w:color w:val="auto"/>
                <w:kern w:val="0"/>
                <w:sz w:val="24"/>
                <w:vertAlign w:val="subscript"/>
              </w:rPr>
              <w:t>ar</w:t>
            </w:r>
            <w:r>
              <w:rPr>
                <w:color w:val="auto"/>
                <w:kern w:val="0"/>
                <w:sz w:val="24"/>
              </w:rPr>
              <w:t>—收到基碳的质量分数，%；根据项目生物质燃料成分测试报告，取</w:t>
            </w:r>
            <w:r>
              <w:rPr>
                <w:rFonts w:hint="eastAsia"/>
                <w:color w:val="auto"/>
                <w:kern w:val="0"/>
                <w:sz w:val="24"/>
              </w:rPr>
              <w:t>35.32</w:t>
            </w:r>
            <w:r>
              <w:rPr>
                <w:color w:val="auto"/>
                <w:kern w:val="0"/>
                <w:sz w:val="24"/>
              </w:rPr>
              <w:t>；</w:t>
            </w:r>
          </w:p>
          <w:p>
            <w:pPr>
              <w:widowControl/>
              <w:shd w:val="clear" w:color="auto" w:fill="FFFFFF"/>
              <w:spacing w:line="360" w:lineRule="auto"/>
              <w:ind w:firstLine="1149" w:firstLineChars="479"/>
              <w:jc w:val="left"/>
              <w:rPr>
                <w:color w:val="auto"/>
                <w:kern w:val="0"/>
                <w:sz w:val="24"/>
              </w:rPr>
            </w:pPr>
            <w:r>
              <w:rPr>
                <w:color w:val="auto"/>
                <w:kern w:val="0"/>
                <w:sz w:val="24"/>
              </w:rPr>
              <w:t>S</w:t>
            </w:r>
            <w:r>
              <w:rPr>
                <w:color w:val="auto"/>
                <w:kern w:val="0"/>
                <w:sz w:val="24"/>
                <w:vertAlign w:val="subscript"/>
              </w:rPr>
              <w:t>ar</w:t>
            </w:r>
            <w:r>
              <w:rPr>
                <w:color w:val="auto"/>
                <w:kern w:val="0"/>
                <w:sz w:val="24"/>
              </w:rPr>
              <w:t>—收到基硫的质量分数， %；根据项目生物质燃料成分测试报告，取0.0</w:t>
            </w:r>
            <w:r>
              <w:rPr>
                <w:rFonts w:hint="eastAsia"/>
                <w:color w:val="auto"/>
                <w:kern w:val="0"/>
                <w:sz w:val="24"/>
              </w:rPr>
              <w:t>7</w:t>
            </w:r>
            <w:r>
              <w:rPr>
                <w:color w:val="auto"/>
                <w:kern w:val="0"/>
                <w:sz w:val="24"/>
              </w:rPr>
              <w:t>；</w:t>
            </w:r>
          </w:p>
          <w:p>
            <w:pPr>
              <w:widowControl/>
              <w:shd w:val="clear" w:color="auto" w:fill="FFFFFF"/>
              <w:spacing w:line="360" w:lineRule="auto"/>
              <w:ind w:firstLine="1149" w:firstLineChars="479"/>
              <w:jc w:val="left"/>
              <w:rPr>
                <w:color w:val="auto"/>
                <w:kern w:val="0"/>
                <w:sz w:val="24"/>
              </w:rPr>
            </w:pPr>
            <w:r>
              <w:rPr>
                <w:color w:val="auto"/>
                <w:kern w:val="0"/>
                <w:sz w:val="24"/>
              </w:rPr>
              <w:t>H</w:t>
            </w:r>
            <w:r>
              <w:rPr>
                <w:color w:val="auto"/>
                <w:kern w:val="0"/>
                <w:sz w:val="24"/>
                <w:vertAlign w:val="subscript"/>
              </w:rPr>
              <w:t>ar</w:t>
            </w:r>
            <w:r>
              <w:rPr>
                <w:color w:val="auto"/>
                <w:kern w:val="0"/>
                <w:sz w:val="24"/>
              </w:rPr>
              <w:t>—收到基氢的质量分数， %；根据项目生物质燃料成分测试报告，取</w:t>
            </w:r>
            <w:r>
              <w:rPr>
                <w:rFonts w:hint="eastAsia"/>
                <w:color w:val="auto"/>
                <w:kern w:val="0"/>
                <w:sz w:val="24"/>
              </w:rPr>
              <w:t>2.14</w:t>
            </w:r>
            <w:r>
              <w:rPr>
                <w:color w:val="auto"/>
                <w:kern w:val="0"/>
                <w:sz w:val="24"/>
              </w:rPr>
              <w:t>；</w:t>
            </w:r>
          </w:p>
          <w:p>
            <w:pPr>
              <w:widowControl/>
              <w:shd w:val="clear" w:color="auto" w:fill="FFFFFF"/>
              <w:spacing w:line="360" w:lineRule="auto"/>
              <w:ind w:firstLine="1149" w:firstLineChars="479"/>
              <w:jc w:val="left"/>
              <w:rPr>
                <w:color w:val="auto"/>
                <w:kern w:val="0"/>
                <w:sz w:val="24"/>
              </w:rPr>
            </w:pPr>
            <w:r>
              <w:rPr>
                <w:color w:val="auto"/>
                <w:kern w:val="0"/>
                <w:sz w:val="24"/>
              </w:rPr>
              <w:t>O</w:t>
            </w:r>
            <w:r>
              <w:rPr>
                <w:color w:val="auto"/>
                <w:kern w:val="0"/>
                <w:sz w:val="24"/>
                <w:vertAlign w:val="subscript"/>
              </w:rPr>
              <w:t>ar</w:t>
            </w:r>
            <w:r>
              <w:rPr>
                <w:color w:val="auto"/>
                <w:kern w:val="0"/>
                <w:sz w:val="24"/>
              </w:rPr>
              <w:t>—收到基氧的质量分数， %。根据项目生物质燃料成分测试报告，取</w:t>
            </w:r>
            <w:r>
              <w:rPr>
                <w:rFonts w:hint="eastAsia"/>
                <w:color w:val="auto"/>
                <w:kern w:val="0"/>
                <w:sz w:val="24"/>
              </w:rPr>
              <w:t>27.73</w:t>
            </w:r>
            <w:r>
              <w:rPr>
                <w:color w:val="auto"/>
                <w:kern w:val="0"/>
                <w:sz w:val="24"/>
              </w:rPr>
              <w:t>。</w:t>
            </w:r>
          </w:p>
          <w:p>
            <w:pPr>
              <w:spacing w:line="360" w:lineRule="auto"/>
              <w:ind w:firstLine="480" w:firstLineChars="200"/>
              <w:rPr>
                <w:color w:val="auto"/>
                <w:kern w:val="0"/>
                <w:sz w:val="24"/>
              </w:rPr>
            </w:pPr>
            <w:r>
              <w:rPr>
                <w:color w:val="auto"/>
                <w:sz w:val="24"/>
              </w:rPr>
              <w:t>经计算，本项目理论空气量</w:t>
            </w:r>
            <w:r>
              <w:rPr>
                <w:color w:val="auto"/>
                <w:kern w:val="0"/>
                <w:sz w:val="24"/>
              </w:rPr>
              <w:t>V</w:t>
            </w:r>
            <w:r>
              <w:rPr>
                <w:color w:val="auto"/>
                <w:kern w:val="0"/>
                <w:sz w:val="24"/>
                <w:vertAlign w:val="subscript"/>
              </w:rPr>
              <w:t>0</w:t>
            </w:r>
            <w:r>
              <w:rPr>
                <w:rFonts w:hint="eastAsia"/>
                <w:color w:val="auto"/>
                <w:sz w:val="24"/>
              </w:rPr>
              <w:t>=1.90</w:t>
            </w:r>
            <w:r>
              <w:rPr>
                <w:color w:val="auto"/>
                <w:kern w:val="0"/>
                <w:sz w:val="24"/>
              </w:rPr>
              <w:t>m</w:t>
            </w:r>
            <w:r>
              <w:rPr>
                <w:color w:val="auto"/>
                <w:kern w:val="0"/>
                <w:sz w:val="24"/>
                <w:vertAlign w:val="superscript"/>
              </w:rPr>
              <w:t>3</w:t>
            </w:r>
            <w:r>
              <w:rPr>
                <w:color w:val="auto"/>
                <w:kern w:val="0"/>
                <w:sz w:val="24"/>
              </w:rPr>
              <w:t>/kg</w:t>
            </w:r>
          </w:p>
          <w:p>
            <w:pPr>
              <w:autoSpaceDE w:val="0"/>
              <w:autoSpaceDN w:val="0"/>
              <w:adjustRightInd w:val="0"/>
              <w:spacing w:line="360" w:lineRule="auto"/>
              <w:ind w:firstLine="480" w:firstLineChars="200"/>
              <w:textAlignment w:val="baseline"/>
              <w:rPr>
                <w:color w:val="auto"/>
                <w:kern w:val="0"/>
                <w:sz w:val="24"/>
              </w:rPr>
            </w:pPr>
            <w:r>
              <w:rPr>
                <w:color w:val="auto"/>
                <w:kern w:val="0"/>
                <w:sz w:val="24"/>
              </w:rPr>
              <w:t>烟气排放量：</w:t>
            </w:r>
          </w:p>
          <w:p>
            <w:pPr>
              <w:autoSpaceDE w:val="0"/>
              <w:autoSpaceDN w:val="0"/>
              <w:adjustRightInd w:val="0"/>
              <w:spacing w:line="360" w:lineRule="auto"/>
              <w:ind w:firstLine="480" w:firstLineChars="200"/>
              <w:jc w:val="center"/>
              <w:textAlignment w:val="baseline"/>
              <w:rPr>
                <w:color w:val="auto"/>
                <w:kern w:val="0"/>
                <w:sz w:val="24"/>
              </w:rPr>
            </w:pPr>
            <w:r>
              <w:rPr>
                <w:color w:val="auto"/>
                <w:kern w:val="0"/>
                <w:sz w:val="24"/>
              </w:rPr>
              <w:drawing>
                <wp:inline distT="0" distB="0" distL="114300" distR="114300">
                  <wp:extent cx="3199130" cy="428625"/>
                  <wp:effectExtent l="0" t="0" r="1270" b="13335"/>
                  <wp:docPr id="148" name="图片 7" descr="169399621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7" descr="1693996219520"/>
                          <pic:cNvPicPr>
                            <a:picLocks noChangeAspect="1"/>
                          </pic:cNvPicPr>
                        </pic:nvPicPr>
                        <pic:blipFill>
                          <a:blip r:embed="rId10"/>
                          <a:srcRect b="10001"/>
                          <a:stretch>
                            <a:fillRect/>
                          </a:stretch>
                        </pic:blipFill>
                        <pic:spPr>
                          <a:xfrm>
                            <a:off x="0" y="0"/>
                            <a:ext cx="3199130" cy="428625"/>
                          </a:xfrm>
                          <a:prstGeom prst="rect">
                            <a:avLst/>
                          </a:prstGeom>
                          <a:noFill/>
                          <a:ln>
                            <a:noFill/>
                          </a:ln>
                        </pic:spPr>
                      </pic:pic>
                    </a:graphicData>
                  </a:graphic>
                </wp:inline>
              </w:drawing>
            </w:r>
            <w:r>
              <w:rPr>
                <w:color w:val="auto"/>
                <w:kern w:val="0"/>
                <w:sz w:val="24"/>
              </w:rPr>
              <w:drawing>
                <wp:inline distT="0" distB="0" distL="114300" distR="114300">
                  <wp:extent cx="3439160" cy="1448435"/>
                  <wp:effectExtent l="0" t="0" r="5080" b="14605"/>
                  <wp:docPr id="133" name="图片 8" descr="1693996314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8" descr="1693996314650"/>
                          <pic:cNvPicPr>
                            <a:picLocks noChangeAspect="1"/>
                          </pic:cNvPicPr>
                        </pic:nvPicPr>
                        <pic:blipFill>
                          <a:blip r:embed="rId11"/>
                          <a:srcRect t="13637"/>
                          <a:stretch>
                            <a:fillRect/>
                          </a:stretch>
                        </pic:blipFill>
                        <pic:spPr>
                          <a:xfrm>
                            <a:off x="0" y="0"/>
                            <a:ext cx="3439160" cy="1448435"/>
                          </a:xfrm>
                          <a:prstGeom prst="rect">
                            <a:avLst/>
                          </a:prstGeom>
                          <a:noFill/>
                          <a:ln>
                            <a:noFill/>
                          </a:ln>
                        </pic:spPr>
                      </pic:pic>
                    </a:graphicData>
                  </a:graphic>
                </wp:inline>
              </w:drawing>
            </w:r>
          </w:p>
          <w:p>
            <w:pPr>
              <w:spacing w:line="360" w:lineRule="auto"/>
              <w:ind w:firstLine="480" w:firstLineChars="200"/>
              <w:rPr>
                <w:color w:val="auto"/>
                <w:sz w:val="24"/>
              </w:rPr>
            </w:pPr>
            <w:r>
              <w:rPr>
                <w:color w:val="auto"/>
                <w:sz w:val="24"/>
              </w:rPr>
              <w:t>式中:V</w:t>
            </w:r>
            <w:r>
              <w:rPr>
                <w:color w:val="auto"/>
                <w:sz w:val="24"/>
                <w:vertAlign w:val="subscript"/>
              </w:rPr>
              <w:t>RO2</w:t>
            </w:r>
            <w:r>
              <w:rPr>
                <w:color w:val="auto"/>
                <w:sz w:val="24"/>
              </w:rPr>
              <w:t>--烟气中二氧化碳(Vco）和二氧化硫(Vso)容积之和，m</w:t>
            </w:r>
            <w:r>
              <w:rPr>
                <w:color w:val="auto"/>
                <w:sz w:val="24"/>
                <w:vertAlign w:val="superscript"/>
              </w:rPr>
              <w:t>3</w:t>
            </w:r>
            <w:r>
              <w:rPr>
                <w:color w:val="auto"/>
                <w:sz w:val="24"/>
              </w:rPr>
              <w:t>/kg;</w:t>
            </w:r>
          </w:p>
          <w:p>
            <w:pPr>
              <w:spacing w:line="360" w:lineRule="auto"/>
              <w:ind w:firstLine="480" w:firstLineChars="200"/>
              <w:rPr>
                <w:color w:val="auto"/>
                <w:sz w:val="24"/>
              </w:rPr>
            </w:pPr>
            <w:r>
              <w:rPr>
                <w:color w:val="auto"/>
                <w:sz w:val="24"/>
              </w:rPr>
              <w:t>C</w:t>
            </w:r>
            <w:r>
              <w:rPr>
                <w:color w:val="auto"/>
                <w:sz w:val="24"/>
                <w:vertAlign w:val="subscript"/>
              </w:rPr>
              <w:t>ar</w:t>
            </w:r>
            <w:r>
              <w:rPr>
                <w:color w:val="auto"/>
                <w:sz w:val="24"/>
              </w:rPr>
              <w:t>--收到基碳的质量分数，%，本项目取</w:t>
            </w:r>
            <w:r>
              <w:rPr>
                <w:rFonts w:hint="eastAsia"/>
                <w:color w:val="auto"/>
                <w:kern w:val="0"/>
                <w:sz w:val="24"/>
              </w:rPr>
              <w:t>35.32</w:t>
            </w:r>
          </w:p>
          <w:p>
            <w:pPr>
              <w:spacing w:line="360" w:lineRule="auto"/>
              <w:ind w:firstLine="480" w:firstLineChars="200"/>
              <w:rPr>
                <w:rFonts w:hint="eastAsia"/>
                <w:color w:val="auto"/>
                <w:sz w:val="24"/>
              </w:rPr>
            </w:pPr>
            <w:r>
              <w:rPr>
                <w:color w:val="auto"/>
                <w:sz w:val="24"/>
              </w:rPr>
              <w:t>S</w:t>
            </w:r>
            <w:r>
              <w:rPr>
                <w:color w:val="auto"/>
                <w:sz w:val="24"/>
                <w:vertAlign w:val="subscript"/>
              </w:rPr>
              <w:t>ar</w:t>
            </w:r>
            <w:r>
              <w:rPr>
                <w:color w:val="auto"/>
                <w:sz w:val="24"/>
              </w:rPr>
              <w:t>--收到基硫的质量分数，%，本项目取0.0</w:t>
            </w:r>
            <w:r>
              <w:rPr>
                <w:rFonts w:hint="eastAsia"/>
                <w:color w:val="auto"/>
                <w:sz w:val="24"/>
              </w:rPr>
              <w:t>7</w:t>
            </w:r>
          </w:p>
          <w:p>
            <w:pPr>
              <w:spacing w:line="360" w:lineRule="auto"/>
              <w:ind w:firstLine="480" w:firstLineChars="200"/>
              <w:rPr>
                <w:color w:val="auto"/>
                <w:sz w:val="24"/>
              </w:rPr>
            </w:pPr>
            <w:r>
              <w:rPr>
                <w:color w:val="auto"/>
                <w:sz w:val="24"/>
              </w:rPr>
              <w:t>V</w:t>
            </w:r>
            <w:r>
              <w:rPr>
                <w:color w:val="auto"/>
                <w:sz w:val="24"/>
                <w:vertAlign w:val="subscript"/>
              </w:rPr>
              <w:t>N2</w:t>
            </w:r>
            <w:r>
              <w:rPr>
                <w:color w:val="auto"/>
                <w:sz w:val="24"/>
              </w:rPr>
              <w:t>--烟气中氮气量，m</w:t>
            </w:r>
            <w:r>
              <w:rPr>
                <w:rFonts w:hint="eastAsia"/>
                <w:color w:val="auto"/>
                <w:sz w:val="24"/>
                <w:vertAlign w:val="superscript"/>
              </w:rPr>
              <w:t>3</w:t>
            </w:r>
            <w:r>
              <w:rPr>
                <w:color w:val="auto"/>
                <w:sz w:val="24"/>
              </w:rPr>
              <w:t>/kg</w:t>
            </w:r>
          </w:p>
          <w:p>
            <w:pPr>
              <w:spacing w:line="360" w:lineRule="auto"/>
              <w:ind w:firstLine="480" w:firstLineChars="200"/>
              <w:rPr>
                <w:color w:val="auto"/>
                <w:sz w:val="24"/>
              </w:rPr>
            </w:pPr>
            <w:r>
              <w:rPr>
                <w:color w:val="auto"/>
                <w:sz w:val="24"/>
              </w:rPr>
              <w:t>N</w:t>
            </w:r>
            <w:r>
              <w:rPr>
                <w:color w:val="auto"/>
                <w:sz w:val="24"/>
                <w:vertAlign w:val="subscript"/>
              </w:rPr>
              <w:t>ar</w:t>
            </w:r>
            <w:r>
              <w:rPr>
                <w:color w:val="auto"/>
                <w:sz w:val="24"/>
              </w:rPr>
              <w:t>--收到基氮的质量分数，%，本项目取0.</w:t>
            </w:r>
            <w:r>
              <w:rPr>
                <w:rFonts w:hint="eastAsia"/>
                <w:color w:val="auto"/>
                <w:sz w:val="24"/>
              </w:rPr>
              <w:t>53</w:t>
            </w:r>
          </w:p>
          <w:p>
            <w:pPr>
              <w:spacing w:line="360" w:lineRule="auto"/>
              <w:ind w:firstLine="480" w:firstLineChars="200"/>
              <w:rPr>
                <w:color w:val="auto"/>
                <w:sz w:val="24"/>
              </w:rPr>
            </w:pPr>
            <w:r>
              <w:rPr>
                <w:color w:val="auto"/>
                <w:sz w:val="24"/>
              </w:rPr>
              <w:t>V</w:t>
            </w:r>
            <w:r>
              <w:rPr>
                <w:rFonts w:hint="eastAsia"/>
                <w:color w:val="auto"/>
                <w:sz w:val="24"/>
                <w:vertAlign w:val="subscript"/>
              </w:rPr>
              <w:t>0</w:t>
            </w:r>
            <w:r>
              <w:rPr>
                <w:color w:val="auto"/>
                <w:sz w:val="24"/>
              </w:rPr>
              <w:t>--理论空气量，m</w:t>
            </w:r>
            <w:r>
              <w:rPr>
                <w:color w:val="auto"/>
                <w:sz w:val="24"/>
                <w:vertAlign w:val="superscript"/>
              </w:rPr>
              <w:t>3</w:t>
            </w:r>
            <w:r>
              <w:rPr>
                <w:color w:val="auto"/>
                <w:sz w:val="24"/>
              </w:rPr>
              <w:t>/kg；</w:t>
            </w:r>
          </w:p>
          <w:p>
            <w:pPr>
              <w:spacing w:line="360" w:lineRule="auto"/>
              <w:ind w:firstLine="480" w:firstLineChars="200"/>
              <w:rPr>
                <w:color w:val="auto"/>
                <w:sz w:val="24"/>
              </w:rPr>
            </w:pPr>
            <w:r>
              <w:rPr>
                <w:color w:val="auto"/>
                <w:sz w:val="24"/>
              </w:rPr>
              <w:t>V</w:t>
            </w:r>
            <w:r>
              <w:rPr>
                <w:color w:val="auto"/>
                <w:sz w:val="24"/>
                <w:vertAlign w:val="subscript"/>
              </w:rPr>
              <w:t>g</w:t>
            </w:r>
            <w:r>
              <w:rPr>
                <w:color w:val="auto"/>
                <w:sz w:val="24"/>
              </w:rPr>
              <w:t>--干烟气排放量，m</w:t>
            </w:r>
            <w:r>
              <w:rPr>
                <w:color w:val="auto"/>
                <w:sz w:val="24"/>
                <w:vertAlign w:val="superscript"/>
              </w:rPr>
              <w:t>3</w:t>
            </w:r>
            <w:r>
              <w:rPr>
                <w:color w:val="auto"/>
                <w:sz w:val="24"/>
              </w:rPr>
              <w:t>/kg；</w:t>
            </w:r>
          </w:p>
          <w:p>
            <w:pPr>
              <w:spacing w:line="360" w:lineRule="auto"/>
              <w:ind w:firstLine="480" w:firstLineChars="200"/>
              <w:rPr>
                <w:color w:val="auto"/>
                <w:sz w:val="24"/>
              </w:rPr>
            </w:pPr>
            <w:r>
              <w:rPr>
                <w:color w:val="auto"/>
                <w:sz w:val="24"/>
              </w:rPr>
              <w:t>a--过量空气系数，</w:t>
            </w:r>
            <w:bookmarkStart w:id="14" w:name="_Hlk144966515"/>
            <w:r>
              <w:rPr>
                <w:rFonts w:hint="eastAsia"/>
                <w:color w:val="auto"/>
                <w:sz w:val="24"/>
              </w:rPr>
              <w:t>根据</w:t>
            </w:r>
            <w:r>
              <w:rPr>
                <w:color w:val="auto"/>
                <w:sz w:val="24"/>
              </w:rPr>
              <w:t>《污染源源强核算技术指南 锅炉》（HJ991-2018）中生物质燃料锅炉过量空气系数，取1.75，对应基准氧含量为9%；</w:t>
            </w:r>
          </w:p>
          <w:bookmarkEnd w:id="14"/>
          <w:p>
            <w:pPr>
              <w:autoSpaceDE w:val="0"/>
              <w:autoSpaceDN w:val="0"/>
              <w:adjustRightInd w:val="0"/>
              <w:spacing w:line="360" w:lineRule="auto"/>
              <w:ind w:firstLine="480" w:firstLineChars="200"/>
              <w:textAlignment w:val="baseline"/>
              <w:rPr>
                <w:color w:val="auto"/>
                <w:kern w:val="0"/>
                <w:sz w:val="24"/>
              </w:rPr>
            </w:pPr>
            <w:r>
              <w:rPr>
                <w:color w:val="auto"/>
                <w:kern w:val="0"/>
                <w:sz w:val="24"/>
              </w:rPr>
              <w:t>V</w:t>
            </w:r>
            <w:r>
              <w:rPr>
                <w:color w:val="auto"/>
                <w:kern w:val="0"/>
                <w:sz w:val="24"/>
                <w:vertAlign w:val="subscript"/>
              </w:rPr>
              <w:t>H2O</w:t>
            </w:r>
            <w:r>
              <w:rPr>
                <w:color w:val="auto"/>
                <w:kern w:val="0"/>
                <w:sz w:val="24"/>
              </w:rPr>
              <w:t>--烟气中水蒸气量，m</w:t>
            </w:r>
            <w:r>
              <w:rPr>
                <w:color w:val="auto"/>
                <w:kern w:val="0"/>
                <w:sz w:val="24"/>
                <w:vertAlign w:val="superscript"/>
              </w:rPr>
              <w:t>3</w:t>
            </w:r>
            <w:r>
              <w:rPr>
                <w:color w:val="auto"/>
                <w:kern w:val="0"/>
                <w:sz w:val="24"/>
              </w:rPr>
              <w:t>/kg；</w:t>
            </w:r>
          </w:p>
          <w:p>
            <w:pPr>
              <w:spacing w:line="360" w:lineRule="auto"/>
              <w:ind w:firstLine="480" w:firstLineChars="200"/>
              <w:rPr>
                <w:color w:val="auto"/>
                <w:sz w:val="24"/>
              </w:rPr>
            </w:pPr>
            <w:r>
              <w:rPr>
                <w:color w:val="auto"/>
                <w:sz w:val="24"/>
              </w:rPr>
              <w:t>H</w:t>
            </w:r>
            <w:r>
              <w:rPr>
                <w:color w:val="auto"/>
                <w:sz w:val="24"/>
                <w:vertAlign w:val="subscript"/>
              </w:rPr>
              <w:t>ar</w:t>
            </w:r>
            <w:r>
              <w:rPr>
                <w:color w:val="auto"/>
                <w:sz w:val="24"/>
              </w:rPr>
              <w:t>--收到基氢的质量分数，%，本项目取</w:t>
            </w:r>
            <w:r>
              <w:rPr>
                <w:rFonts w:hint="eastAsia"/>
                <w:color w:val="auto"/>
                <w:sz w:val="24"/>
              </w:rPr>
              <w:t>2.14</w:t>
            </w:r>
          </w:p>
          <w:p>
            <w:pPr>
              <w:spacing w:line="360" w:lineRule="auto"/>
              <w:ind w:firstLine="480" w:firstLineChars="200"/>
              <w:rPr>
                <w:color w:val="auto"/>
                <w:sz w:val="24"/>
              </w:rPr>
            </w:pPr>
            <w:r>
              <w:rPr>
                <w:color w:val="auto"/>
                <w:sz w:val="24"/>
              </w:rPr>
              <w:t>M</w:t>
            </w:r>
            <w:r>
              <w:rPr>
                <w:color w:val="auto"/>
                <w:sz w:val="24"/>
                <w:vertAlign w:val="subscript"/>
              </w:rPr>
              <w:t>ar</w:t>
            </w:r>
            <w:r>
              <w:rPr>
                <w:color w:val="auto"/>
                <w:sz w:val="24"/>
              </w:rPr>
              <w:t>--收到基水分的质量分数，%，Mar=</w:t>
            </w:r>
            <w:r>
              <w:rPr>
                <w:rFonts w:hint="eastAsia"/>
                <w:color w:val="auto"/>
                <w:sz w:val="24"/>
              </w:rPr>
              <w:t>32.4</w:t>
            </w:r>
          </w:p>
          <w:p>
            <w:pPr>
              <w:autoSpaceDE w:val="0"/>
              <w:autoSpaceDN w:val="0"/>
              <w:adjustRightInd w:val="0"/>
              <w:spacing w:line="360" w:lineRule="auto"/>
              <w:ind w:firstLine="480" w:firstLineChars="200"/>
              <w:textAlignment w:val="baseline"/>
              <w:rPr>
                <w:color w:val="auto"/>
                <w:kern w:val="0"/>
                <w:sz w:val="24"/>
              </w:rPr>
            </w:pPr>
            <w:r>
              <w:rPr>
                <w:color w:val="auto"/>
                <w:kern w:val="0"/>
                <w:sz w:val="24"/>
              </w:rPr>
              <w:t>G</w:t>
            </w:r>
            <w:r>
              <w:rPr>
                <w:color w:val="auto"/>
                <w:kern w:val="0"/>
                <w:sz w:val="24"/>
                <w:vertAlign w:val="subscript"/>
              </w:rPr>
              <w:t>wh</w:t>
            </w:r>
            <w:r>
              <w:rPr>
                <w:color w:val="auto"/>
                <w:kern w:val="0"/>
                <w:sz w:val="24"/>
              </w:rPr>
              <w:t>--雾化燃油时消耗的蒸汽量，kg/kg；取值0</w:t>
            </w:r>
          </w:p>
          <w:p>
            <w:pPr>
              <w:autoSpaceDE w:val="0"/>
              <w:autoSpaceDN w:val="0"/>
              <w:adjustRightInd w:val="0"/>
              <w:spacing w:line="360" w:lineRule="auto"/>
              <w:ind w:firstLine="480" w:firstLineChars="200"/>
              <w:textAlignment w:val="baseline"/>
              <w:rPr>
                <w:color w:val="auto"/>
                <w:kern w:val="0"/>
                <w:sz w:val="24"/>
              </w:rPr>
            </w:pPr>
            <w:r>
              <w:rPr>
                <w:color w:val="auto"/>
                <w:kern w:val="0"/>
                <w:sz w:val="24"/>
              </w:rPr>
              <w:t>V</w:t>
            </w:r>
            <w:r>
              <w:rPr>
                <w:color w:val="auto"/>
                <w:kern w:val="0"/>
                <w:sz w:val="24"/>
                <w:vertAlign w:val="subscript"/>
              </w:rPr>
              <w:t>s</w:t>
            </w:r>
            <w:r>
              <w:rPr>
                <w:color w:val="auto"/>
                <w:kern w:val="0"/>
                <w:sz w:val="24"/>
              </w:rPr>
              <w:t>--湿烟气排放量，m</w:t>
            </w:r>
            <w:r>
              <w:rPr>
                <w:rFonts w:hint="eastAsia"/>
                <w:color w:val="auto"/>
                <w:kern w:val="0"/>
                <w:sz w:val="24"/>
                <w:vertAlign w:val="superscript"/>
              </w:rPr>
              <w:t>3</w:t>
            </w:r>
            <w:r>
              <w:rPr>
                <w:color w:val="auto"/>
                <w:kern w:val="0"/>
                <w:sz w:val="24"/>
              </w:rPr>
              <w:t>/kg。</w:t>
            </w:r>
          </w:p>
          <w:p>
            <w:pPr>
              <w:adjustRightInd w:val="0"/>
              <w:snapToGrid w:val="0"/>
              <w:spacing w:line="360" w:lineRule="auto"/>
              <w:ind w:firstLine="480" w:firstLineChars="200"/>
              <w:rPr>
                <w:color w:val="auto"/>
                <w:sz w:val="24"/>
                <w:lang w:bidi="ar"/>
              </w:rPr>
            </w:pPr>
            <w:bookmarkStart w:id="15" w:name="_Hlk144966850"/>
            <w:r>
              <w:rPr>
                <w:color w:val="auto"/>
                <w:sz w:val="24"/>
                <w:lang w:bidi="ar"/>
              </w:rPr>
              <w:t>经计算，干烟气排放量V</w:t>
            </w:r>
            <w:r>
              <w:rPr>
                <w:color w:val="auto"/>
                <w:sz w:val="24"/>
                <w:vertAlign w:val="subscript"/>
                <w:lang w:bidi="ar"/>
              </w:rPr>
              <w:t>g</w:t>
            </w:r>
            <w:r>
              <w:rPr>
                <w:color w:val="auto"/>
                <w:sz w:val="24"/>
                <w:lang w:bidi="ar"/>
              </w:rPr>
              <w:t>为</w:t>
            </w:r>
            <w:r>
              <w:rPr>
                <w:rFonts w:hint="eastAsia"/>
                <w:color w:val="auto"/>
                <w:sz w:val="24"/>
                <w:lang w:bidi="ar"/>
              </w:rPr>
              <w:t>3.40</w:t>
            </w:r>
            <w:r>
              <w:rPr>
                <w:color w:val="auto"/>
                <w:sz w:val="24"/>
                <w:lang w:bidi="ar"/>
              </w:rPr>
              <w:t>m</w:t>
            </w:r>
            <w:r>
              <w:rPr>
                <w:color w:val="auto"/>
                <w:sz w:val="24"/>
                <w:vertAlign w:val="superscript"/>
                <w:lang w:bidi="ar"/>
              </w:rPr>
              <w:t>3</w:t>
            </w:r>
            <w:r>
              <w:rPr>
                <w:color w:val="auto"/>
                <w:sz w:val="24"/>
                <w:lang w:bidi="ar"/>
              </w:rPr>
              <w:t>/kg，湿烟气排放量V</w:t>
            </w:r>
            <w:r>
              <w:rPr>
                <w:color w:val="auto"/>
                <w:sz w:val="24"/>
                <w:vertAlign w:val="subscript"/>
                <w:lang w:bidi="ar"/>
              </w:rPr>
              <w:t>S</w:t>
            </w:r>
            <w:r>
              <w:rPr>
                <w:color w:val="auto"/>
                <w:sz w:val="24"/>
                <w:lang w:bidi="ar"/>
              </w:rPr>
              <w:t>为</w:t>
            </w:r>
            <w:r>
              <w:rPr>
                <w:rFonts w:hint="eastAsia"/>
                <w:color w:val="auto"/>
                <w:sz w:val="24"/>
                <w:lang w:bidi="ar"/>
              </w:rPr>
              <w:t>4.09</w:t>
            </w:r>
            <w:r>
              <w:rPr>
                <w:color w:val="auto"/>
                <w:sz w:val="24"/>
                <w:lang w:bidi="ar"/>
              </w:rPr>
              <w:t>m</w:t>
            </w:r>
            <w:r>
              <w:rPr>
                <w:color w:val="auto"/>
                <w:sz w:val="24"/>
                <w:vertAlign w:val="superscript"/>
                <w:lang w:bidi="ar"/>
              </w:rPr>
              <w:t>3</w:t>
            </w:r>
            <w:r>
              <w:rPr>
                <w:color w:val="auto"/>
                <w:sz w:val="24"/>
                <w:lang w:bidi="ar"/>
              </w:rPr>
              <w:t>/kg。</w:t>
            </w:r>
          </w:p>
          <w:p>
            <w:pPr>
              <w:adjustRightInd w:val="0"/>
              <w:snapToGrid w:val="0"/>
              <w:spacing w:line="360" w:lineRule="auto"/>
              <w:ind w:firstLine="480" w:firstLineChars="200"/>
              <w:rPr>
                <w:color w:val="auto"/>
                <w:sz w:val="24"/>
                <w:lang w:bidi="ar"/>
              </w:rPr>
            </w:pPr>
            <w:r>
              <w:rPr>
                <w:color w:val="auto"/>
                <w:sz w:val="24"/>
                <w:lang w:bidi="ar"/>
              </w:rPr>
              <w:t>本项目锅炉满负荷状态下燃料消耗量为</w:t>
            </w:r>
            <w:r>
              <w:rPr>
                <w:rFonts w:hint="eastAsia"/>
                <w:color w:val="auto"/>
                <w:sz w:val="24"/>
                <w:lang w:bidi="ar"/>
              </w:rPr>
              <w:t>3.18</w:t>
            </w:r>
            <w:r>
              <w:rPr>
                <w:color w:val="auto"/>
                <w:sz w:val="24"/>
                <w:lang w:bidi="ar"/>
              </w:rPr>
              <w:t>t/h，则烟气排放量为</w:t>
            </w:r>
            <w:r>
              <w:rPr>
                <w:rFonts w:hint="eastAsia"/>
                <w:color w:val="auto"/>
                <w:sz w:val="24"/>
                <w:lang w:bidi="ar"/>
              </w:rPr>
              <w:t>13006</w:t>
            </w:r>
            <w:r>
              <w:rPr>
                <w:color w:val="auto"/>
                <w:sz w:val="24"/>
                <w:lang w:bidi="ar"/>
              </w:rPr>
              <w:t>m</w:t>
            </w:r>
            <w:r>
              <w:rPr>
                <w:color w:val="auto"/>
                <w:sz w:val="24"/>
                <w:vertAlign w:val="superscript"/>
                <w:lang w:bidi="ar"/>
              </w:rPr>
              <w:t>3</w:t>
            </w:r>
            <w:r>
              <w:rPr>
                <w:color w:val="auto"/>
                <w:sz w:val="24"/>
                <w:lang w:bidi="ar"/>
              </w:rPr>
              <w:t>/h</w:t>
            </w:r>
            <w:bookmarkEnd w:id="15"/>
            <w:r>
              <w:rPr>
                <w:color w:val="auto"/>
                <w:sz w:val="24"/>
                <w:lang w:bidi="ar"/>
              </w:rPr>
              <w:t>。</w:t>
            </w:r>
          </w:p>
          <w:p>
            <w:pPr>
              <w:adjustRightInd w:val="0"/>
              <w:snapToGrid w:val="0"/>
              <w:spacing w:line="360" w:lineRule="auto"/>
              <w:ind w:firstLine="482" w:firstLineChars="200"/>
              <w:rPr>
                <w:color w:val="auto"/>
                <w:sz w:val="24"/>
              </w:rPr>
            </w:pPr>
            <w:r>
              <w:rPr>
                <w:b/>
                <w:bCs/>
                <w:color w:val="auto"/>
                <w:sz w:val="24"/>
              </w:rPr>
              <w:t>锅炉中污染物排放量分析</w:t>
            </w:r>
          </w:p>
          <w:p>
            <w:pPr>
              <w:spacing w:line="360" w:lineRule="auto"/>
              <w:ind w:firstLine="480" w:firstLineChars="200"/>
              <w:rPr>
                <w:color w:val="auto"/>
                <w:sz w:val="24"/>
              </w:rPr>
            </w:pPr>
            <w:r>
              <w:rPr>
                <w:color w:val="auto"/>
                <w:sz w:val="24"/>
              </w:rPr>
              <w:t>生物质锅炉污染物排放量</w:t>
            </w:r>
            <w:r>
              <w:rPr>
                <w:rFonts w:hint="eastAsia"/>
                <w:color w:val="auto"/>
                <w:sz w:val="24"/>
              </w:rPr>
              <w:t>根据</w:t>
            </w:r>
            <w:r>
              <w:rPr>
                <w:color w:val="auto"/>
                <w:sz w:val="24"/>
              </w:rPr>
              <w:t>《污染源源强核算技术指南 锅炉》（HJ991-2018）</w:t>
            </w:r>
            <w:r>
              <w:rPr>
                <w:rFonts w:hint="eastAsia"/>
                <w:color w:val="auto"/>
                <w:sz w:val="24"/>
              </w:rPr>
              <w:t>采用</w:t>
            </w:r>
            <w:r>
              <w:rPr>
                <w:color w:val="auto"/>
                <w:sz w:val="24"/>
              </w:rPr>
              <w:t>物料衡算法计算。</w:t>
            </w:r>
          </w:p>
          <w:p>
            <w:pPr>
              <w:spacing w:line="360" w:lineRule="auto"/>
              <w:ind w:firstLine="480" w:firstLineChars="200"/>
              <w:rPr>
                <w:bCs/>
                <w:color w:val="auto"/>
                <w:sz w:val="24"/>
              </w:rPr>
            </w:pPr>
            <w:r>
              <w:rPr>
                <w:rFonts w:hint="eastAsia"/>
                <w:bCs/>
                <w:color w:val="auto"/>
                <w:sz w:val="24"/>
              </w:rPr>
              <w:t>颗粒物（烟尘）排放量计算如下：</w:t>
            </w:r>
          </w:p>
          <w:p>
            <w:pPr>
              <w:spacing w:line="360" w:lineRule="auto"/>
              <w:ind w:firstLine="480" w:firstLineChars="200"/>
              <w:jc w:val="center"/>
              <w:rPr>
                <w:bCs/>
                <w:color w:val="auto"/>
                <w:sz w:val="24"/>
              </w:rPr>
            </w:pPr>
            <w:r>
              <w:rPr>
                <w:color w:val="auto"/>
                <w:sz w:val="24"/>
              </w:rPr>
              <w:drawing>
                <wp:inline distT="0" distB="0" distL="114300" distR="114300">
                  <wp:extent cx="2701925" cy="1062355"/>
                  <wp:effectExtent l="0" t="0" r="10795" b="4445"/>
                  <wp:docPr id="14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9"/>
                          <pic:cNvPicPr>
                            <a:picLocks noChangeAspect="1"/>
                          </pic:cNvPicPr>
                        </pic:nvPicPr>
                        <pic:blipFill>
                          <a:blip r:embed="rId12"/>
                          <a:srcRect b="6396"/>
                          <a:stretch>
                            <a:fillRect/>
                          </a:stretch>
                        </pic:blipFill>
                        <pic:spPr>
                          <a:xfrm>
                            <a:off x="0" y="0"/>
                            <a:ext cx="2701925" cy="1062355"/>
                          </a:xfrm>
                          <a:prstGeom prst="rect">
                            <a:avLst/>
                          </a:prstGeom>
                          <a:noFill/>
                          <a:ln>
                            <a:noFill/>
                          </a:ln>
                        </pic:spPr>
                      </pic:pic>
                    </a:graphicData>
                  </a:graphic>
                </wp:inline>
              </w:drawing>
            </w:r>
          </w:p>
          <w:p>
            <w:pPr>
              <w:spacing w:line="360" w:lineRule="auto"/>
              <w:ind w:firstLine="480" w:firstLineChars="200"/>
              <w:rPr>
                <w:rFonts w:hAnsi="仿宋"/>
                <w:color w:val="auto"/>
                <w:sz w:val="24"/>
              </w:rPr>
            </w:pPr>
            <w:r>
              <w:rPr>
                <w:rFonts w:hint="eastAsia" w:hAnsi="仿宋"/>
                <w:color w:val="auto"/>
                <w:sz w:val="24"/>
              </w:rPr>
              <w:t>式中：E</w:t>
            </w:r>
            <w:r>
              <w:rPr>
                <w:rFonts w:hint="eastAsia" w:hAnsi="仿宋"/>
                <w:color w:val="auto"/>
                <w:sz w:val="24"/>
                <w:vertAlign w:val="subscript"/>
              </w:rPr>
              <w:t>A</w:t>
            </w:r>
            <w:r>
              <w:rPr>
                <w:rFonts w:hint="eastAsia" w:hAnsi="仿宋"/>
                <w:color w:val="auto"/>
                <w:sz w:val="24"/>
              </w:rPr>
              <w:t>—核算时段内</w:t>
            </w:r>
            <w:r>
              <w:rPr>
                <w:rFonts w:hint="eastAsia"/>
                <w:bCs/>
                <w:color w:val="auto"/>
                <w:sz w:val="24"/>
              </w:rPr>
              <w:t>颗粒物（烟尘）排放量</w:t>
            </w:r>
            <w:r>
              <w:rPr>
                <w:rFonts w:hint="eastAsia" w:hAnsi="仿宋"/>
                <w:color w:val="auto"/>
                <w:sz w:val="24"/>
              </w:rPr>
              <w:t>，t；</w:t>
            </w:r>
          </w:p>
          <w:p>
            <w:pPr>
              <w:spacing w:line="360" w:lineRule="auto"/>
              <w:ind w:firstLine="480" w:firstLineChars="200"/>
              <w:rPr>
                <w:rFonts w:hAnsi="仿宋"/>
                <w:color w:val="auto"/>
                <w:sz w:val="24"/>
              </w:rPr>
            </w:pPr>
            <w:r>
              <w:rPr>
                <w:rFonts w:hint="eastAsia" w:hAnsi="仿宋"/>
                <w:color w:val="auto"/>
                <w:sz w:val="24"/>
              </w:rPr>
              <w:t xml:space="preserve">      R—核算时段内锅炉燃料消耗量，t，</w:t>
            </w:r>
            <w:r>
              <w:rPr>
                <w:rFonts w:hint="eastAsia"/>
                <w:bCs/>
                <w:color w:val="auto"/>
                <w:sz w:val="24"/>
              </w:rPr>
              <w:t>取5515</w:t>
            </w:r>
            <w:r>
              <w:rPr>
                <w:rFonts w:hint="eastAsia" w:hAnsi="仿宋"/>
                <w:color w:val="auto"/>
                <w:sz w:val="24"/>
              </w:rPr>
              <w:t>t，</w:t>
            </w:r>
            <w:r>
              <w:rPr>
                <w:rFonts w:hint="eastAsia" w:hAnsi="宋体"/>
                <w:bCs/>
                <w:color w:val="auto"/>
                <w:sz w:val="24"/>
              </w:rPr>
              <w:t>生物质每小时最大使用量为3.18t/h</w:t>
            </w:r>
            <w:r>
              <w:rPr>
                <w:rFonts w:hint="eastAsia" w:hAnsi="仿宋"/>
                <w:color w:val="auto"/>
                <w:sz w:val="24"/>
              </w:rPr>
              <w:t>；</w:t>
            </w:r>
          </w:p>
          <w:p>
            <w:pPr>
              <w:spacing w:line="360" w:lineRule="auto"/>
              <w:ind w:firstLine="480" w:firstLineChars="200"/>
              <w:rPr>
                <w:rFonts w:hAnsi="仿宋"/>
                <w:b/>
                <w:color w:val="auto"/>
                <w:sz w:val="24"/>
              </w:rPr>
            </w:pPr>
            <w:r>
              <w:rPr>
                <w:rFonts w:hint="eastAsia" w:hAnsi="仿宋"/>
                <w:color w:val="auto"/>
                <w:sz w:val="24"/>
              </w:rPr>
              <w:t xml:space="preserve">      A</w:t>
            </w:r>
            <w:r>
              <w:rPr>
                <w:rFonts w:hint="eastAsia" w:hAnsi="仿宋"/>
                <w:color w:val="auto"/>
                <w:sz w:val="24"/>
                <w:vertAlign w:val="subscript"/>
              </w:rPr>
              <w:t>ar</w:t>
            </w:r>
            <w:r>
              <w:rPr>
                <w:rFonts w:hint="eastAsia" w:hAnsi="仿宋"/>
                <w:color w:val="auto"/>
                <w:sz w:val="24"/>
              </w:rPr>
              <w:t>—收到基灰分的治理分数，%，取6.48%；</w:t>
            </w:r>
          </w:p>
          <w:p>
            <w:pPr>
              <w:spacing w:line="360" w:lineRule="auto"/>
              <w:ind w:firstLine="480" w:firstLineChars="200"/>
              <w:rPr>
                <w:rFonts w:hAnsi="仿宋"/>
                <w:b/>
                <w:color w:val="auto"/>
                <w:sz w:val="24"/>
              </w:rPr>
            </w:pPr>
            <w:r>
              <w:rPr>
                <w:rFonts w:hint="eastAsia" w:hAnsi="仿宋"/>
                <w:color w:val="auto"/>
                <w:sz w:val="24"/>
              </w:rPr>
              <w:t xml:space="preserve">      d</w:t>
            </w:r>
            <w:r>
              <w:rPr>
                <w:rFonts w:hint="eastAsia" w:hAnsi="仿宋"/>
                <w:color w:val="auto"/>
                <w:sz w:val="24"/>
                <w:vertAlign w:val="subscript"/>
              </w:rPr>
              <w:t>fh</w:t>
            </w:r>
            <w:r>
              <w:rPr>
                <w:rFonts w:hint="eastAsia" w:hAnsi="仿宋"/>
                <w:color w:val="auto"/>
                <w:sz w:val="24"/>
              </w:rPr>
              <w:t>—锅炉烟气带出的飞灰份额，%，取50%；</w:t>
            </w:r>
          </w:p>
          <w:p>
            <w:pPr>
              <w:spacing w:line="360" w:lineRule="auto"/>
              <w:ind w:firstLine="480" w:firstLineChars="200"/>
              <w:rPr>
                <w:rFonts w:hAnsi="仿宋"/>
                <w:b/>
                <w:color w:val="auto"/>
                <w:sz w:val="24"/>
              </w:rPr>
            </w:pPr>
            <w:r>
              <w:rPr>
                <w:rFonts w:hint="eastAsia" w:hAnsi="仿宋"/>
                <w:color w:val="auto"/>
                <w:sz w:val="24"/>
              </w:rPr>
              <w:t xml:space="preserve">      </w:t>
            </w:r>
            <w:r>
              <w:rPr>
                <w:rFonts w:hAnsi="仿宋"/>
                <w:color w:val="auto"/>
                <w:sz w:val="24"/>
              </w:rPr>
              <w:drawing>
                <wp:inline distT="0" distB="0" distL="114300" distR="114300">
                  <wp:extent cx="190500" cy="197485"/>
                  <wp:effectExtent l="0" t="0" r="7620" b="635"/>
                  <wp:docPr id="14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0"/>
                          <pic:cNvPicPr>
                            <a:picLocks noChangeAspect="1"/>
                          </pic:cNvPicPr>
                        </pic:nvPicPr>
                        <pic:blipFill>
                          <a:blip r:embed="rId13"/>
                          <a:stretch>
                            <a:fillRect/>
                          </a:stretch>
                        </pic:blipFill>
                        <pic:spPr>
                          <a:xfrm>
                            <a:off x="0" y="0"/>
                            <a:ext cx="190500" cy="197485"/>
                          </a:xfrm>
                          <a:prstGeom prst="rect">
                            <a:avLst/>
                          </a:prstGeom>
                          <a:noFill/>
                          <a:ln>
                            <a:noFill/>
                          </a:ln>
                        </pic:spPr>
                      </pic:pic>
                    </a:graphicData>
                  </a:graphic>
                </wp:inline>
              </w:drawing>
            </w:r>
            <w:r>
              <w:rPr>
                <w:rFonts w:hint="eastAsia" w:hAnsi="仿宋"/>
                <w:color w:val="auto"/>
                <w:sz w:val="24"/>
              </w:rPr>
              <w:t>—综合除尘效率，%，取99.6%；</w:t>
            </w:r>
          </w:p>
          <w:p>
            <w:pPr>
              <w:spacing w:line="360" w:lineRule="auto"/>
              <w:ind w:firstLine="480" w:firstLineChars="200"/>
              <w:rPr>
                <w:rFonts w:hAnsi="仿宋"/>
                <w:b/>
                <w:color w:val="auto"/>
                <w:sz w:val="24"/>
              </w:rPr>
            </w:pPr>
            <w:r>
              <w:rPr>
                <w:rFonts w:hint="eastAsia" w:hAnsi="仿宋"/>
                <w:color w:val="auto"/>
                <w:sz w:val="24"/>
              </w:rPr>
              <w:t xml:space="preserve">      C</w:t>
            </w:r>
            <w:r>
              <w:rPr>
                <w:rFonts w:hint="eastAsia" w:hAnsi="仿宋"/>
                <w:color w:val="auto"/>
                <w:sz w:val="24"/>
                <w:vertAlign w:val="subscript"/>
              </w:rPr>
              <w:t>fh</w:t>
            </w:r>
            <w:r>
              <w:rPr>
                <w:rFonts w:hint="eastAsia" w:hAnsi="仿宋"/>
                <w:color w:val="auto"/>
                <w:sz w:val="24"/>
              </w:rPr>
              <w:t>—飞灰中的可燃物含量，%，本项目取8%。</w:t>
            </w:r>
          </w:p>
          <w:p>
            <w:pPr>
              <w:spacing w:line="360" w:lineRule="auto"/>
              <w:ind w:firstLine="480" w:firstLineChars="200"/>
              <w:rPr>
                <w:rFonts w:hAnsi="仿宋"/>
                <w:color w:val="auto"/>
                <w:sz w:val="24"/>
              </w:rPr>
            </w:pPr>
            <w:r>
              <w:rPr>
                <w:rFonts w:hint="eastAsia" w:hAnsi="仿宋"/>
                <w:color w:val="auto"/>
                <w:sz w:val="24"/>
              </w:rPr>
              <w:t>经计算，颗粒物排放量为0.78t/a，排放速率为0.45kg/h，排放浓度为34.48mg/m</w:t>
            </w:r>
            <w:r>
              <w:rPr>
                <w:rFonts w:hint="eastAsia" w:hAnsi="仿宋"/>
                <w:color w:val="auto"/>
                <w:sz w:val="24"/>
                <w:vertAlign w:val="superscript"/>
              </w:rPr>
              <w:t>3</w:t>
            </w:r>
            <w:r>
              <w:rPr>
                <w:rFonts w:hint="eastAsia" w:hAnsi="仿宋"/>
                <w:color w:val="auto"/>
                <w:sz w:val="24"/>
              </w:rPr>
              <w:t>，产生量为194.2t/a，产生速率为112.11kg/h，产生浓度为8619.84mg/m</w:t>
            </w:r>
            <w:r>
              <w:rPr>
                <w:rFonts w:hint="eastAsia" w:hAnsi="仿宋"/>
                <w:color w:val="auto"/>
                <w:sz w:val="24"/>
                <w:vertAlign w:val="superscript"/>
              </w:rPr>
              <w:t>3</w:t>
            </w:r>
            <w:r>
              <w:rPr>
                <w:rFonts w:hint="eastAsia" w:hAnsi="仿宋"/>
                <w:color w:val="auto"/>
                <w:sz w:val="24"/>
              </w:rPr>
              <w:t>。</w:t>
            </w:r>
          </w:p>
          <w:p>
            <w:pPr>
              <w:spacing w:line="360" w:lineRule="auto"/>
              <w:ind w:firstLine="480" w:firstLineChars="200"/>
              <w:rPr>
                <w:rFonts w:hAnsi="仿宋"/>
                <w:color w:val="auto"/>
                <w:sz w:val="24"/>
              </w:rPr>
            </w:pPr>
            <w:r>
              <w:rPr>
                <w:bCs/>
                <w:color w:val="auto"/>
                <w:sz w:val="24"/>
              </w:rPr>
              <w:t>SO</w:t>
            </w:r>
            <w:r>
              <w:rPr>
                <w:bCs/>
                <w:color w:val="auto"/>
                <w:sz w:val="24"/>
                <w:vertAlign w:val="subscript"/>
              </w:rPr>
              <w:t>2</w:t>
            </w:r>
            <w:r>
              <w:rPr>
                <w:rFonts w:hint="eastAsia"/>
                <w:bCs/>
                <w:color w:val="auto"/>
                <w:sz w:val="24"/>
              </w:rPr>
              <w:t>排放量计算如下：</w:t>
            </w:r>
          </w:p>
          <w:p>
            <w:pPr>
              <w:spacing w:line="360" w:lineRule="auto"/>
              <w:ind w:firstLine="480" w:firstLineChars="200"/>
              <w:jc w:val="center"/>
              <w:rPr>
                <w:bCs/>
                <w:color w:val="auto"/>
                <w:sz w:val="24"/>
              </w:rPr>
            </w:pPr>
            <w:r>
              <w:rPr>
                <w:color w:val="auto"/>
                <w:sz w:val="24"/>
              </w:rPr>
              <w:drawing>
                <wp:inline distT="0" distB="0" distL="114300" distR="114300">
                  <wp:extent cx="3721735" cy="692150"/>
                  <wp:effectExtent l="0" t="0" r="12065" b="8890"/>
                  <wp:docPr id="13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1"/>
                          <pic:cNvPicPr>
                            <a:picLocks noChangeAspect="1"/>
                          </pic:cNvPicPr>
                        </pic:nvPicPr>
                        <pic:blipFill>
                          <a:blip r:embed="rId14"/>
                          <a:srcRect r="10886"/>
                          <a:stretch>
                            <a:fillRect/>
                          </a:stretch>
                        </pic:blipFill>
                        <pic:spPr>
                          <a:xfrm>
                            <a:off x="0" y="0"/>
                            <a:ext cx="3721735" cy="692150"/>
                          </a:xfrm>
                          <a:prstGeom prst="rect">
                            <a:avLst/>
                          </a:prstGeom>
                          <a:noFill/>
                          <a:ln>
                            <a:noFill/>
                          </a:ln>
                        </pic:spPr>
                      </pic:pic>
                    </a:graphicData>
                  </a:graphic>
                </wp:inline>
              </w:drawing>
            </w:r>
          </w:p>
          <w:p>
            <w:pPr>
              <w:spacing w:line="360" w:lineRule="auto"/>
              <w:ind w:firstLine="480" w:firstLineChars="200"/>
              <w:rPr>
                <w:rFonts w:hAnsi="仿宋"/>
                <w:color w:val="auto"/>
                <w:sz w:val="24"/>
              </w:rPr>
            </w:pPr>
            <w:r>
              <w:rPr>
                <w:rFonts w:hint="eastAsia" w:hAnsi="仿宋"/>
                <w:color w:val="auto"/>
                <w:sz w:val="24"/>
              </w:rPr>
              <w:t>式中：E</w:t>
            </w:r>
            <w:r>
              <w:rPr>
                <w:rFonts w:hAnsi="仿宋"/>
                <w:bCs/>
                <w:color w:val="auto"/>
                <w:sz w:val="24"/>
                <w:vertAlign w:val="subscript"/>
              </w:rPr>
              <w:t>SO2</w:t>
            </w:r>
            <w:r>
              <w:rPr>
                <w:rFonts w:hint="eastAsia" w:hAnsi="仿宋"/>
                <w:color w:val="auto"/>
                <w:sz w:val="24"/>
              </w:rPr>
              <w:t>—核算时段内</w:t>
            </w:r>
            <w:r>
              <w:rPr>
                <w:bCs/>
                <w:color w:val="auto"/>
                <w:sz w:val="24"/>
              </w:rPr>
              <w:t>SO</w:t>
            </w:r>
            <w:r>
              <w:rPr>
                <w:bCs/>
                <w:color w:val="auto"/>
                <w:sz w:val="24"/>
                <w:vertAlign w:val="subscript"/>
              </w:rPr>
              <w:t>2</w:t>
            </w:r>
            <w:r>
              <w:rPr>
                <w:rFonts w:hint="eastAsia"/>
                <w:bCs/>
                <w:color w:val="auto"/>
                <w:sz w:val="24"/>
              </w:rPr>
              <w:t>排放量</w:t>
            </w:r>
            <w:r>
              <w:rPr>
                <w:rFonts w:hint="eastAsia" w:hAnsi="仿宋"/>
                <w:color w:val="auto"/>
                <w:sz w:val="24"/>
              </w:rPr>
              <w:t>，t；</w:t>
            </w:r>
          </w:p>
          <w:p>
            <w:pPr>
              <w:spacing w:line="360" w:lineRule="auto"/>
              <w:ind w:firstLine="480" w:firstLineChars="200"/>
              <w:rPr>
                <w:rFonts w:hAnsi="仿宋"/>
                <w:color w:val="auto"/>
                <w:sz w:val="24"/>
              </w:rPr>
            </w:pPr>
            <w:r>
              <w:rPr>
                <w:rFonts w:hint="eastAsia" w:hAnsi="仿宋"/>
                <w:color w:val="auto"/>
                <w:sz w:val="24"/>
              </w:rPr>
              <w:t xml:space="preserve">      R—核算时段内锅炉燃料消耗量，t，</w:t>
            </w:r>
            <w:r>
              <w:rPr>
                <w:rFonts w:hint="eastAsia"/>
                <w:bCs/>
                <w:color w:val="auto"/>
                <w:sz w:val="24"/>
              </w:rPr>
              <w:t>取5515</w:t>
            </w:r>
            <w:r>
              <w:rPr>
                <w:rFonts w:hint="eastAsia" w:hAnsi="仿宋"/>
                <w:color w:val="auto"/>
                <w:sz w:val="24"/>
              </w:rPr>
              <w:t>t，</w:t>
            </w:r>
            <w:r>
              <w:rPr>
                <w:rFonts w:hint="eastAsia" w:hAnsi="宋体"/>
                <w:bCs/>
                <w:color w:val="auto"/>
                <w:sz w:val="24"/>
              </w:rPr>
              <w:t>生物质每小时最大使用量为3.18t/h</w:t>
            </w:r>
            <w:r>
              <w:rPr>
                <w:rFonts w:hint="eastAsia" w:hAnsi="仿宋"/>
                <w:color w:val="auto"/>
                <w:sz w:val="24"/>
              </w:rPr>
              <w:t>；</w:t>
            </w:r>
          </w:p>
          <w:p>
            <w:pPr>
              <w:spacing w:line="360" w:lineRule="auto"/>
              <w:ind w:firstLine="480" w:firstLineChars="200"/>
              <w:rPr>
                <w:rFonts w:hAnsi="仿宋"/>
                <w:b/>
                <w:color w:val="auto"/>
                <w:sz w:val="24"/>
              </w:rPr>
            </w:pPr>
            <w:r>
              <w:rPr>
                <w:rFonts w:hint="eastAsia" w:hAnsi="仿宋"/>
                <w:color w:val="auto"/>
                <w:sz w:val="24"/>
              </w:rPr>
              <w:t xml:space="preserve">      S</w:t>
            </w:r>
            <w:r>
              <w:rPr>
                <w:rFonts w:hint="eastAsia" w:hAnsi="仿宋"/>
                <w:color w:val="auto"/>
                <w:sz w:val="24"/>
                <w:vertAlign w:val="subscript"/>
              </w:rPr>
              <w:t>ar</w:t>
            </w:r>
            <w:r>
              <w:rPr>
                <w:rFonts w:hint="eastAsia" w:hAnsi="仿宋"/>
                <w:color w:val="auto"/>
                <w:sz w:val="24"/>
              </w:rPr>
              <w:t>—收到基灰分的治理分数，%，取0.07%；</w:t>
            </w:r>
          </w:p>
          <w:p>
            <w:pPr>
              <w:spacing w:line="360" w:lineRule="auto"/>
              <w:ind w:firstLine="480" w:firstLineChars="200"/>
              <w:rPr>
                <w:rFonts w:hAnsi="仿宋"/>
                <w:b/>
                <w:color w:val="auto"/>
                <w:sz w:val="24"/>
              </w:rPr>
            </w:pPr>
            <w:r>
              <w:rPr>
                <w:rFonts w:hint="eastAsia" w:hAnsi="仿宋"/>
                <w:color w:val="auto"/>
                <w:sz w:val="24"/>
              </w:rPr>
              <w:t xml:space="preserve">      q</w:t>
            </w:r>
            <w:r>
              <w:rPr>
                <w:rFonts w:hint="eastAsia" w:hAnsi="仿宋"/>
                <w:color w:val="auto"/>
                <w:sz w:val="24"/>
                <w:vertAlign w:val="subscript"/>
              </w:rPr>
              <w:t>4</w:t>
            </w:r>
            <w:r>
              <w:rPr>
                <w:rFonts w:hint="eastAsia" w:hAnsi="仿宋"/>
                <w:color w:val="auto"/>
                <w:sz w:val="24"/>
              </w:rPr>
              <w:t>—锅炉机械不完全燃烧热损失，%，取15%；</w:t>
            </w:r>
          </w:p>
          <w:p>
            <w:pPr>
              <w:spacing w:line="360" w:lineRule="auto"/>
              <w:ind w:firstLine="480" w:firstLineChars="200"/>
              <w:rPr>
                <w:rFonts w:hAnsi="仿宋"/>
                <w:b/>
                <w:color w:val="auto"/>
                <w:sz w:val="24"/>
              </w:rPr>
            </w:pPr>
            <w:r>
              <w:rPr>
                <w:rFonts w:hint="eastAsia" w:hAnsi="仿宋"/>
                <w:color w:val="auto"/>
                <w:sz w:val="24"/>
              </w:rPr>
              <w:t xml:space="preserve">      </w:t>
            </w:r>
            <w:r>
              <w:rPr>
                <w:rFonts w:hAnsi="仿宋"/>
                <w:color w:val="auto"/>
                <w:sz w:val="24"/>
              </w:rPr>
              <w:drawing>
                <wp:inline distT="0" distB="0" distL="114300" distR="114300">
                  <wp:extent cx="172720" cy="276225"/>
                  <wp:effectExtent l="0" t="0" r="10160" b="13335"/>
                  <wp:docPr id="14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2"/>
                          <pic:cNvPicPr>
                            <a:picLocks noChangeAspect="1"/>
                          </pic:cNvPicPr>
                        </pic:nvPicPr>
                        <pic:blipFill>
                          <a:blip r:embed="rId15"/>
                          <a:stretch>
                            <a:fillRect/>
                          </a:stretch>
                        </pic:blipFill>
                        <pic:spPr>
                          <a:xfrm>
                            <a:off x="0" y="0"/>
                            <a:ext cx="172720" cy="276225"/>
                          </a:xfrm>
                          <a:prstGeom prst="rect">
                            <a:avLst/>
                          </a:prstGeom>
                          <a:noFill/>
                          <a:ln>
                            <a:noFill/>
                          </a:ln>
                        </pic:spPr>
                      </pic:pic>
                    </a:graphicData>
                  </a:graphic>
                </wp:inline>
              </w:drawing>
            </w:r>
            <w:r>
              <w:rPr>
                <w:rFonts w:hint="eastAsia" w:hAnsi="仿宋"/>
                <w:color w:val="auto"/>
                <w:sz w:val="24"/>
              </w:rPr>
              <w:t>—脱硫效率，%，取0%；</w:t>
            </w:r>
          </w:p>
          <w:p>
            <w:pPr>
              <w:spacing w:line="360" w:lineRule="auto"/>
              <w:ind w:firstLine="480" w:firstLineChars="200"/>
              <w:rPr>
                <w:rFonts w:hAnsi="仿宋"/>
                <w:b/>
                <w:color w:val="auto"/>
                <w:sz w:val="24"/>
              </w:rPr>
            </w:pPr>
            <w:r>
              <w:rPr>
                <w:rFonts w:hint="eastAsia" w:hAnsi="仿宋"/>
                <w:color w:val="auto"/>
                <w:sz w:val="24"/>
              </w:rPr>
              <w:t xml:space="preserve">      K—燃料中的硫燃烧后氧化成二氧化硫的份额，量纲一的量，本项目取0.50。</w:t>
            </w:r>
          </w:p>
          <w:p>
            <w:pPr>
              <w:spacing w:line="360" w:lineRule="auto"/>
              <w:ind w:firstLine="480" w:firstLineChars="200"/>
              <w:rPr>
                <w:rFonts w:hint="eastAsia" w:hAnsi="仿宋"/>
                <w:color w:val="auto"/>
                <w:sz w:val="24"/>
              </w:rPr>
            </w:pPr>
            <w:r>
              <w:rPr>
                <w:rFonts w:hint="eastAsia" w:hAnsi="仿宋"/>
                <w:color w:val="auto"/>
                <w:sz w:val="24"/>
              </w:rPr>
              <w:t>经计算，</w:t>
            </w:r>
            <w:r>
              <w:rPr>
                <w:bCs/>
                <w:color w:val="auto"/>
                <w:sz w:val="24"/>
              </w:rPr>
              <w:t>SO</w:t>
            </w:r>
            <w:r>
              <w:rPr>
                <w:bCs/>
                <w:color w:val="auto"/>
                <w:sz w:val="24"/>
                <w:vertAlign w:val="subscript"/>
              </w:rPr>
              <w:t>2</w:t>
            </w:r>
            <w:r>
              <w:rPr>
                <w:rFonts w:hint="eastAsia" w:hAnsi="仿宋"/>
                <w:color w:val="auto"/>
                <w:sz w:val="24"/>
              </w:rPr>
              <w:t>排放量为2.38t/a，排放速率为1.37kg/h，排放浓度为105.58mg/m</w:t>
            </w:r>
            <w:r>
              <w:rPr>
                <w:rFonts w:hint="eastAsia" w:hAnsi="仿宋"/>
                <w:color w:val="auto"/>
                <w:sz w:val="24"/>
                <w:vertAlign w:val="superscript"/>
              </w:rPr>
              <w:t>3</w:t>
            </w:r>
            <w:r>
              <w:rPr>
                <w:rFonts w:hint="eastAsia" w:hAnsi="仿宋"/>
                <w:color w:val="auto"/>
                <w:sz w:val="24"/>
              </w:rPr>
              <w:t>，产生量为2.38t/a，产生速率为1.37kg/h，产生浓度为105.58mg/m</w:t>
            </w:r>
            <w:r>
              <w:rPr>
                <w:rFonts w:hint="eastAsia" w:hAnsi="仿宋"/>
                <w:color w:val="auto"/>
                <w:sz w:val="24"/>
                <w:vertAlign w:val="superscript"/>
              </w:rPr>
              <w:t>3</w:t>
            </w:r>
            <w:r>
              <w:rPr>
                <w:rFonts w:hint="eastAsia" w:hAnsi="仿宋"/>
                <w:color w:val="auto"/>
                <w:sz w:val="24"/>
              </w:rPr>
              <w:t>。</w:t>
            </w:r>
          </w:p>
          <w:p>
            <w:pPr>
              <w:spacing w:line="360" w:lineRule="auto"/>
              <w:ind w:firstLine="480" w:firstLineChars="200"/>
              <w:rPr>
                <w:rFonts w:hAnsi="仿宋"/>
                <w:color w:val="auto"/>
                <w:sz w:val="24"/>
              </w:rPr>
            </w:pPr>
            <w:r>
              <w:rPr>
                <w:rFonts w:hint="eastAsia"/>
                <w:bCs/>
                <w:color w:val="auto"/>
                <w:sz w:val="24"/>
              </w:rPr>
              <w:t>NO</w:t>
            </w:r>
            <w:r>
              <w:rPr>
                <w:rFonts w:hint="eastAsia"/>
                <w:bCs/>
                <w:color w:val="auto"/>
                <w:sz w:val="24"/>
                <w:vertAlign w:val="subscript"/>
              </w:rPr>
              <w:t>X</w:t>
            </w:r>
            <w:r>
              <w:rPr>
                <w:rFonts w:hint="eastAsia"/>
                <w:bCs/>
                <w:color w:val="auto"/>
                <w:sz w:val="24"/>
              </w:rPr>
              <w:t>排放量计算如下：</w:t>
            </w:r>
          </w:p>
          <w:p>
            <w:pPr>
              <w:spacing w:line="360" w:lineRule="auto"/>
              <w:ind w:firstLine="480" w:firstLineChars="200"/>
              <w:jc w:val="center"/>
              <w:rPr>
                <w:bCs/>
                <w:color w:val="auto"/>
                <w:sz w:val="24"/>
              </w:rPr>
            </w:pPr>
            <w:r>
              <w:rPr>
                <w:bCs/>
                <w:color w:val="auto"/>
                <w:sz w:val="24"/>
              </w:rPr>
              <w:drawing>
                <wp:inline distT="0" distB="0" distL="114300" distR="114300">
                  <wp:extent cx="2971800" cy="695325"/>
                  <wp:effectExtent l="0" t="0" r="0" b="5715"/>
                  <wp:docPr id="13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
                          <pic:cNvPicPr>
                            <a:picLocks noChangeAspect="1"/>
                          </pic:cNvPicPr>
                        </pic:nvPicPr>
                        <pic:blipFill>
                          <a:blip r:embed="rId16"/>
                          <a:stretch>
                            <a:fillRect/>
                          </a:stretch>
                        </pic:blipFill>
                        <pic:spPr>
                          <a:xfrm>
                            <a:off x="0" y="0"/>
                            <a:ext cx="2971800" cy="695325"/>
                          </a:xfrm>
                          <a:prstGeom prst="rect">
                            <a:avLst/>
                          </a:prstGeom>
                          <a:noFill/>
                          <a:ln>
                            <a:noFill/>
                          </a:ln>
                        </pic:spPr>
                      </pic:pic>
                    </a:graphicData>
                  </a:graphic>
                </wp:inline>
              </w:drawing>
            </w:r>
          </w:p>
          <w:p>
            <w:pPr>
              <w:spacing w:line="360" w:lineRule="auto"/>
              <w:ind w:firstLine="480" w:firstLineChars="200"/>
              <w:rPr>
                <w:rFonts w:hAnsi="仿宋"/>
                <w:color w:val="auto"/>
                <w:sz w:val="24"/>
              </w:rPr>
            </w:pPr>
            <w:r>
              <w:rPr>
                <w:rFonts w:hint="eastAsia" w:hAnsi="仿宋"/>
                <w:color w:val="auto"/>
                <w:sz w:val="24"/>
              </w:rPr>
              <w:t>式中：E</w:t>
            </w:r>
            <w:r>
              <w:rPr>
                <w:rFonts w:hint="eastAsia" w:hAnsi="仿宋"/>
                <w:bCs/>
                <w:color w:val="auto"/>
                <w:sz w:val="24"/>
                <w:vertAlign w:val="subscript"/>
              </w:rPr>
              <w:t>NOX</w:t>
            </w:r>
            <w:r>
              <w:rPr>
                <w:rFonts w:hint="eastAsia" w:hAnsi="仿宋"/>
                <w:color w:val="auto"/>
                <w:sz w:val="24"/>
              </w:rPr>
              <w:t>—核算时段内</w:t>
            </w:r>
            <w:r>
              <w:rPr>
                <w:rFonts w:hint="eastAsia"/>
                <w:bCs/>
                <w:color w:val="auto"/>
                <w:sz w:val="24"/>
              </w:rPr>
              <w:t>NO</w:t>
            </w:r>
            <w:r>
              <w:rPr>
                <w:rFonts w:hint="eastAsia"/>
                <w:bCs/>
                <w:color w:val="auto"/>
                <w:sz w:val="24"/>
                <w:vertAlign w:val="subscript"/>
              </w:rPr>
              <w:t>X</w:t>
            </w:r>
            <w:r>
              <w:rPr>
                <w:rFonts w:hint="eastAsia"/>
                <w:bCs/>
                <w:color w:val="auto"/>
                <w:sz w:val="24"/>
              </w:rPr>
              <w:t>排放量</w:t>
            </w:r>
            <w:r>
              <w:rPr>
                <w:rFonts w:hint="eastAsia" w:hAnsi="仿宋"/>
                <w:color w:val="auto"/>
                <w:sz w:val="24"/>
              </w:rPr>
              <w:t>，t；</w:t>
            </w:r>
          </w:p>
          <w:p>
            <w:pPr>
              <w:spacing w:line="360" w:lineRule="auto"/>
              <w:ind w:firstLine="480" w:firstLineChars="200"/>
              <w:rPr>
                <w:rFonts w:hAnsi="仿宋"/>
                <w:color w:val="auto"/>
                <w:sz w:val="24"/>
              </w:rPr>
            </w:pPr>
            <w:r>
              <w:rPr>
                <w:rFonts w:hint="eastAsia" w:hAnsi="仿宋"/>
                <w:color w:val="auto"/>
                <w:sz w:val="24"/>
              </w:rPr>
              <w:t xml:space="preserve">      </w:t>
            </w:r>
            <w:r>
              <w:rPr>
                <w:rFonts w:hAnsi="仿宋"/>
                <w:color w:val="auto"/>
                <w:sz w:val="24"/>
              </w:rPr>
              <w:drawing>
                <wp:inline distT="0" distB="0" distL="114300" distR="114300">
                  <wp:extent cx="317500" cy="194310"/>
                  <wp:effectExtent l="0" t="0" r="2540" b="3810"/>
                  <wp:docPr id="13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4"/>
                          <pic:cNvPicPr>
                            <a:picLocks noChangeAspect="1"/>
                          </pic:cNvPicPr>
                        </pic:nvPicPr>
                        <pic:blipFill>
                          <a:blip r:embed="rId17"/>
                          <a:stretch>
                            <a:fillRect/>
                          </a:stretch>
                        </pic:blipFill>
                        <pic:spPr>
                          <a:xfrm>
                            <a:off x="0" y="0"/>
                            <a:ext cx="317500" cy="194310"/>
                          </a:xfrm>
                          <a:prstGeom prst="rect">
                            <a:avLst/>
                          </a:prstGeom>
                          <a:noFill/>
                          <a:ln>
                            <a:noFill/>
                          </a:ln>
                        </pic:spPr>
                      </pic:pic>
                    </a:graphicData>
                  </a:graphic>
                </wp:inline>
              </w:drawing>
            </w:r>
            <w:r>
              <w:rPr>
                <w:rFonts w:hint="eastAsia" w:hAnsi="仿宋"/>
                <w:color w:val="auto"/>
                <w:sz w:val="24"/>
              </w:rPr>
              <w:t>—锅炉炉膛出口氮氧化物质量浓度，mg/m</w:t>
            </w:r>
            <w:r>
              <w:rPr>
                <w:rFonts w:hint="eastAsia" w:hAnsi="仿宋"/>
                <w:color w:val="auto"/>
                <w:sz w:val="24"/>
                <w:vertAlign w:val="superscript"/>
              </w:rPr>
              <w:t>3</w:t>
            </w:r>
            <w:r>
              <w:rPr>
                <w:rFonts w:hint="eastAsia" w:hAnsi="仿宋"/>
                <w:color w:val="auto"/>
                <w:sz w:val="24"/>
              </w:rPr>
              <w:t>，</w:t>
            </w:r>
            <w:r>
              <w:rPr>
                <w:rFonts w:hint="eastAsia"/>
                <w:bCs/>
                <w:color w:val="auto"/>
                <w:sz w:val="24"/>
              </w:rPr>
              <w:t>取</w:t>
            </w:r>
            <w:r>
              <w:rPr>
                <w:rFonts w:hint="eastAsia" w:hAnsi="仿宋"/>
                <w:bCs/>
                <w:color w:val="auto"/>
                <w:sz w:val="24"/>
              </w:rPr>
              <w:t>300</w:t>
            </w:r>
            <w:r>
              <w:rPr>
                <w:rFonts w:hint="eastAsia" w:hAnsi="仿宋"/>
                <w:color w:val="auto"/>
                <w:sz w:val="24"/>
              </w:rPr>
              <w:t>mg/m</w:t>
            </w:r>
            <w:r>
              <w:rPr>
                <w:rFonts w:hint="eastAsia" w:hAnsi="仿宋"/>
                <w:color w:val="auto"/>
                <w:sz w:val="24"/>
                <w:vertAlign w:val="superscript"/>
              </w:rPr>
              <w:t>3</w:t>
            </w:r>
            <w:r>
              <w:rPr>
                <w:rFonts w:hint="eastAsia" w:hAnsi="仿宋"/>
                <w:color w:val="auto"/>
                <w:sz w:val="24"/>
              </w:rPr>
              <w:t>；</w:t>
            </w:r>
          </w:p>
          <w:p>
            <w:pPr>
              <w:spacing w:line="360" w:lineRule="auto"/>
              <w:ind w:firstLine="480" w:firstLineChars="200"/>
              <w:rPr>
                <w:rFonts w:hAnsi="仿宋"/>
                <w:b/>
                <w:color w:val="auto"/>
                <w:sz w:val="24"/>
              </w:rPr>
            </w:pPr>
            <w:r>
              <w:rPr>
                <w:rFonts w:hint="eastAsia" w:hAnsi="仿宋"/>
                <w:color w:val="auto"/>
                <w:sz w:val="24"/>
              </w:rPr>
              <w:t xml:space="preserve">      Q—核算时段内标态干烟气排放量，m</w:t>
            </w:r>
            <w:r>
              <w:rPr>
                <w:rFonts w:hint="eastAsia" w:hAnsi="仿宋"/>
                <w:color w:val="auto"/>
                <w:sz w:val="24"/>
                <w:vertAlign w:val="superscript"/>
              </w:rPr>
              <w:t>3</w:t>
            </w:r>
            <w:r>
              <w:rPr>
                <w:rFonts w:hint="eastAsia" w:hAnsi="仿宋"/>
                <w:color w:val="auto"/>
                <w:sz w:val="24"/>
              </w:rPr>
              <w:t>，取18751000m</w:t>
            </w:r>
            <w:r>
              <w:rPr>
                <w:rFonts w:hint="eastAsia" w:hAnsi="仿宋"/>
                <w:color w:val="auto"/>
                <w:sz w:val="24"/>
                <w:vertAlign w:val="superscript"/>
              </w:rPr>
              <w:t>3</w:t>
            </w:r>
            <w:r>
              <w:rPr>
                <w:rFonts w:hint="eastAsia" w:hAnsi="仿宋"/>
                <w:color w:val="auto"/>
                <w:sz w:val="24"/>
              </w:rPr>
              <w:t>；</w:t>
            </w:r>
          </w:p>
          <w:p>
            <w:pPr>
              <w:spacing w:line="360" w:lineRule="auto"/>
              <w:ind w:firstLine="480" w:firstLineChars="200"/>
              <w:rPr>
                <w:rFonts w:hAnsi="仿宋"/>
                <w:b/>
                <w:color w:val="auto"/>
                <w:sz w:val="24"/>
              </w:rPr>
            </w:pPr>
            <w:r>
              <w:rPr>
                <w:rFonts w:hint="eastAsia" w:hAnsi="仿宋"/>
                <w:color w:val="auto"/>
                <w:sz w:val="24"/>
              </w:rPr>
              <w:t xml:space="preserve">      </w:t>
            </w:r>
            <w:r>
              <w:rPr>
                <w:rFonts w:hAnsi="仿宋"/>
                <w:color w:val="auto"/>
                <w:sz w:val="24"/>
              </w:rPr>
              <w:drawing>
                <wp:inline distT="0" distB="0" distL="114300" distR="114300">
                  <wp:extent cx="370840" cy="250190"/>
                  <wp:effectExtent l="0" t="0" r="10160" b="8890"/>
                  <wp:docPr id="14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5"/>
                          <pic:cNvPicPr>
                            <a:picLocks noChangeAspect="1"/>
                          </pic:cNvPicPr>
                        </pic:nvPicPr>
                        <pic:blipFill>
                          <a:blip r:embed="rId18"/>
                          <a:stretch>
                            <a:fillRect/>
                          </a:stretch>
                        </pic:blipFill>
                        <pic:spPr>
                          <a:xfrm>
                            <a:off x="0" y="0"/>
                            <a:ext cx="370840" cy="250190"/>
                          </a:xfrm>
                          <a:prstGeom prst="rect">
                            <a:avLst/>
                          </a:prstGeom>
                          <a:noFill/>
                          <a:ln>
                            <a:noFill/>
                          </a:ln>
                        </pic:spPr>
                      </pic:pic>
                    </a:graphicData>
                  </a:graphic>
                </wp:inline>
              </w:drawing>
            </w:r>
            <w:r>
              <w:rPr>
                <w:rFonts w:hint="eastAsia" w:hAnsi="仿宋"/>
                <w:color w:val="auto"/>
                <w:sz w:val="24"/>
              </w:rPr>
              <w:t>—脱硝效率，%，取30%。</w:t>
            </w:r>
          </w:p>
          <w:p>
            <w:pPr>
              <w:spacing w:line="360" w:lineRule="auto"/>
              <w:ind w:firstLine="480" w:firstLineChars="200"/>
              <w:rPr>
                <w:color w:val="auto"/>
                <w:sz w:val="24"/>
              </w:rPr>
            </w:pPr>
            <w:r>
              <w:rPr>
                <w:rFonts w:hint="eastAsia" w:hAnsi="仿宋"/>
                <w:color w:val="auto"/>
                <w:sz w:val="24"/>
              </w:rPr>
              <w:t>经计算，</w:t>
            </w:r>
            <w:r>
              <w:rPr>
                <w:rFonts w:hint="eastAsia"/>
                <w:bCs/>
                <w:color w:val="auto"/>
                <w:sz w:val="24"/>
              </w:rPr>
              <w:t>NO</w:t>
            </w:r>
            <w:r>
              <w:rPr>
                <w:rFonts w:hint="eastAsia"/>
                <w:bCs/>
                <w:color w:val="auto"/>
                <w:sz w:val="24"/>
                <w:vertAlign w:val="subscript"/>
              </w:rPr>
              <w:t>X</w:t>
            </w:r>
            <w:r>
              <w:rPr>
                <w:rFonts w:hint="eastAsia" w:hAnsi="仿宋"/>
                <w:color w:val="auto"/>
                <w:sz w:val="24"/>
              </w:rPr>
              <w:t>排放量3.92t/a，排放速率为2.24kg/h，排放浓度为210mg/m</w:t>
            </w:r>
            <w:r>
              <w:rPr>
                <w:rFonts w:hint="eastAsia" w:hAnsi="仿宋"/>
                <w:color w:val="auto"/>
                <w:sz w:val="24"/>
                <w:vertAlign w:val="superscript"/>
              </w:rPr>
              <w:t>3</w:t>
            </w:r>
            <w:r>
              <w:rPr>
                <w:rFonts w:hint="eastAsia" w:hAnsi="仿宋"/>
                <w:color w:val="auto"/>
                <w:sz w:val="24"/>
              </w:rPr>
              <w:t>，产生量为5.6t/a，产生速率为3.2kg/h，产生浓度为300mg/m</w:t>
            </w:r>
            <w:r>
              <w:rPr>
                <w:rFonts w:hint="eastAsia" w:hAnsi="仿宋"/>
                <w:color w:val="auto"/>
                <w:sz w:val="24"/>
                <w:vertAlign w:val="superscript"/>
              </w:rPr>
              <w:t>3</w:t>
            </w:r>
            <w:r>
              <w:rPr>
                <w:color w:val="auto"/>
                <w:sz w:val="24"/>
              </w:rPr>
              <w:t>。</w:t>
            </w:r>
          </w:p>
          <w:p>
            <w:pPr>
              <w:adjustRightInd w:val="0"/>
              <w:snapToGrid w:val="0"/>
              <w:spacing w:line="360" w:lineRule="auto"/>
              <w:ind w:firstLine="482" w:firstLineChars="200"/>
              <w:rPr>
                <w:b/>
                <w:bCs/>
                <w:color w:val="auto"/>
                <w:sz w:val="24"/>
              </w:rPr>
            </w:pPr>
            <w:r>
              <w:rPr>
                <w:b/>
                <w:bCs/>
                <w:color w:val="auto"/>
                <w:sz w:val="24"/>
              </w:rPr>
              <w:t>炉渣转运粉尘</w:t>
            </w:r>
          </w:p>
          <w:p>
            <w:pPr>
              <w:spacing w:line="360" w:lineRule="auto"/>
              <w:ind w:firstLine="480" w:firstLineChars="200"/>
              <w:contextualSpacing/>
              <w:rPr>
                <w:rFonts w:hint="eastAsia"/>
                <w:color w:val="auto"/>
                <w:sz w:val="24"/>
              </w:rPr>
            </w:pPr>
            <w:r>
              <w:rPr>
                <w:rFonts w:hint="eastAsia" w:cs="宋体"/>
                <w:color w:val="auto"/>
                <w:sz w:val="24"/>
                <w:lang w:bidi="ar"/>
              </w:rPr>
              <w:t>本项目灰渣转运时会产生粉尘，参照《逸散性工业粉尘控制技术》炉渣的出料的产污系数</w:t>
            </w:r>
            <w:r>
              <w:rPr>
                <w:color w:val="auto"/>
                <w:sz w:val="24"/>
                <w:lang w:bidi="ar"/>
              </w:rPr>
              <w:t>0.0</w:t>
            </w:r>
            <w:r>
              <w:rPr>
                <w:rFonts w:hint="eastAsia"/>
                <w:color w:val="auto"/>
                <w:sz w:val="24"/>
                <w:lang w:bidi="ar"/>
              </w:rPr>
              <w:t>25</w:t>
            </w:r>
            <w:r>
              <w:rPr>
                <w:color w:val="auto"/>
                <w:sz w:val="24"/>
                <w:lang w:bidi="ar"/>
              </w:rPr>
              <w:t>kg/t-</w:t>
            </w:r>
            <w:r>
              <w:rPr>
                <w:rFonts w:hint="eastAsia"/>
                <w:color w:val="auto"/>
                <w:sz w:val="24"/>
                <w:lang w:bidi="ar"/>
              </w:rPr>
              <w:t>储料</w:t>
            </w:r>
            <w:r>
              <w:rPr>
                <w:rFonts w:hint="eastAsia" w:cs="宋体"/>
                <w:color w:val="auto"/>
                <w:sz w:val="24"/>
                <w:lang w:bidi="ar"/>
              </w:rPr>
              <w:t>，本项目灰渣量为</w:t>
            </w:r>
            <w:r>
              <w:rPr>
                <w:rFonts w:hint="eastAsia"/>
                <w:color w:val="auto"/>
                <w:sz w:val="24"/>
                <w:lang w:bidi="ar"/>
              </w:rPr>
              <w:t>743</w:t>
            </w:r>
            <w:r>
              <w:rPr>
                <w:color w:val="auto"/>
                <w:sz w:val="24"/>
                <w:lang w:bidi="ar"/>
              </w:rPr>
              <w:t>t/a</w:t>
            </w:r>
            <w:r>
              <w:rPr>
                <w:rFonts w:hint="eastAsia" w:cs="宋体"/>
                <w:color w:val="auto"/>
                <w:sz w:val="24"/>
                <w:lang w:bidi="ar"/>
              </w:rPr>
              <w:t>，则灰渣转运产生的粉尘量为</w:t>
            </w:r>
            <w:r>
              <w:rPr>
                <w:color w:val="auto"/>
                <w:sz w:val="24"/>
                <w:lang w:bidi="ar"/>
              </w:rPr>
              <w:t>0.0</w:t>
            </w:r>
            <w:r>
              <w:rPr>
                <w:rFonts w:hint="eastAsia"/>
                <w:color w:val="auto"/>
                <w:sz w:val="24"/>
                <w:lang w:bidi="ar"/>
              </w:rPr>
              <w:t>2</w:t>
            </w:r>
            <w:r>
              <w:rPr>
                <w:color w:val="auto"/>
                <w:sz w:val="24"/>
                <w:lang w:bidi="ar"/>
              </w:rPr>
              <w:t>t/a</w:t>
            </w:r>
            <w:r>
              <w:rPr>
                <w:rFonts w:hint="eastAsia" w:cs="宋体"/>
                <w:color w:val="auto"/>
                <w:sz w:val="24"/>
                <w:lang w:bidi="ar"/>
              </w:rPr>
              <w:t>。本项目转运时间取</w:t>
            </w:r>
            <w:r>
              <w:rPr>
                <w:rFonts w:hint="eastAsia"/>
                <w:color w:val="auto"/>
                <w:sz w:val="24"/>
                <w:lang w:bidi="ar"/>
              </w:rPr>
              <w:t>1000</w:t>
            </w:r>
            <w:r>
              <w:rPr>
                <w:color w:val="auto"/>
                <w:sz w:val="24"/>
                <w:lang w:bidi="ar"/>
              </w:rPr>
              <w:t>h/a</w:t>
            </w:r>
            <w:r>
              <w:rPr>
                <w:rFonts w:hint="eastAsia" w:cs="宋体"/>
                <w:color w:val="auto"/>
                <w:sz w:val="24"/>
                <w:lang w:bidi="ar"/>
              </w:rPr>
              <w:t>，则灰渣转运粉尘产生速率为</w:t>
            </w:r>
            <w:r>
              <w:rPr>
                <w:color w:val="auto"/>
                <w:sz w:val="24"/>
                <w:lang w:bidi="ar"/>
              </w:rPr>
              <w:t>0.0</w:t>
            </w:r>
            <w:r>
              <w:rPr>
                <w:rFonts w:hint="eastAsia"/>
                <w:color w:val="auto"/>
                <w:sz w:val="24"/>
                <w:lang w:bidi="ar"/>
              </w:rPr>
              <w:t>2</w:t>
            </w:r>
            <w:r>
              <w:rPr>
                <w:color w:val="auto"/>
                <w:sz w:val="24"/>
                <w:lang w:bidi="ar"/>
              </w:rPr>
              <w:t>kg/h</w:t>
            </w:r>
            <w:r>
              <w:rPr>
                <w:rFonts w:hint="eastAsia" w:cs="宋体"/>
                <w:color w:val="auto"/>
                <w:sz w:val="24"/>
                <w:lang w:bidi="ar"/>
              </w:rPr>
              <w:t>，</w:t>
            </w:r>
            <w:r>
              <w:rPr>
                <w:color w:val="auto"/>
                <w:sz w:val="24"/>
              </w:rPr>
              <w:t>本项目</w:t>
            </w:r>
            <w:r>
              <w:rPr>
                <w:rFonts w:hint="eastAsia"/>
                <w:bCs/>
                <w:color w:val="auto"/>
                <w:sz w:val="24"/>
              </w:rPr>
              <w:t>灰渣采用湿式除渣，存放于运输车内，采用苫布苫盖，及时清运，不长期储存，粉尘以无组织形式在厂区排放，粉尘产生量较小</w:t>
            </w:r>
            <w:r>
              <w:rPr>
                <w:rFonts w:hint="eastAsia"/>
                <w:color w:val="auto"/>
                <w:sz w:val="24"/>
              </w:rPr>
              <w:t>。</w:t>
            </w:r>
          </w:p>
          <w:p>
            <w:pPr>
              <w:spacing w:line="360" w:lineRule="auto"/>
              <w:ind w:firstLine="472" w:firstLineChars="196"/>
              <w:contextualSpacing/>
              <w:rPr>
                <w:rFonts w:hint="eastAsia"/>
                <w:b/>
                <w:bCs/>
                <w:color w:val="auto"/>
                <w:sz w:val="24"/>
              </w:rPr>
            </w:pPr>
            <w:r>
              <w:rPr>
                <w:rFonts w:hint="eastAsia"/>
                <w:b/>
                <w:bCs/>
                <w:color w:val="auto"/>
                <w:sz w:val="24"/>
              </w:rPr>
              <w:t>秸秆转运粉尘</w:t>
            </w:r>
          </w:p>
          <w:p>
            <w:pPr>
              <w:spacing w:line="360" w:lineRule="auto"/>
              <w:ind w:firstLine="480" w:firstLineChars="200"/>
              <w:contextualSpacing/>
              <w:rPr>
                <w:rFonts w:hint="eastAsia"/>
                <w:color w:val="auto"/>
                <w:sz w:val="24"/>
              </w:rPr>
            </w:pPr>
            <w:r>
              <w:rPr>
                <w:rFonts w:hint="eastAsia"/>
                <w:color w:val="auto"/>
                <w:sz w:val="24"/>
              </w:rPr>
              <w:t>本项目</w:t>
            </w:r>
            <w:r>
              <w:rPr>
                <w:rFonts w:hint="eastAsia"/>
                <w:color w:val="auto"/>
                <w:sz w:val="24"/>
                <w:lang w:bidi="zh-CN"/>
              </w:rPr>
              <w:t>燃料采用已在田间</w:t>
            </w:r>
            <w:r>
              <w:rPr>
                <w:rFonts w:hint="eastAsia"/>
                <w:bCs/>
                <w:color w:val="auto"/>
                <w:sz w:val="24"/>
                <w:lang w:bidi="zh-CN"/>
              </w:rPr>
              <w:t>打包成捆的秸秆，</w:t>
            </w:r>
            <w:r>
              <w:rPr>
                <w:rFonts w:hint="eastAsia"/>
                <w:color w:val="auto"/>
                <w:sz w:val="24"/>
                <w:lang w:bidi="zh-CN"/>
              </w:rPr>
              <w:t>进厂后由铲车卸车堆垛在厂内堆放，</w:t>
            </w:r>
            <w:r>
              <w:rPr>
                <w:rFonts w:hint="eastAsia" w:cs="宋体"/>
                <w:color w:val="auto"/>
                <w:sz w:val="24"/>
                <w:lang w:bidi="ar"/>
              </w:rPr>
              <w:t>参照《逸散性工业粉尘控制技术》卡车卸料的产污系数</w:t>
            </w:r>
            <w:r>
              <w:rPr>
                <w:color w:val="auto"/>
                <w:sz w:val="24"/>
                <w:lang w:bidi="ar"/>
              </w:rPr>
              <w:t>0.</w:t>
            </w:r>
            <w:r>
              <w:rPr>
                <w:rFonts w:hint="eastAsia"/>
                <w:color w:val="auto"/>
                <w:sz w:val="24"/>
                <w:lang w:bidi="ar"/>
              </w:rPr>
              <w:t>3</w:t>
            </w:r>
            <w:r>
              <w:rPr>
                <w:color w:val="auto"/>
                <w:sz w:val="24"/>
                <w:lang w:bidi="ar"/>
              </w:rPr>
              <w:t>kg/t-</w:t>
            </w:r>
            <w:r>
              <w:rPr>
                <w:rFonts w:hint="eastAsia"/>
                <w:color w:val="auto"/>
                <w:sz w:val="24"/>
                <w:lang w:bidi="ar"/>
              </w:rPr>
              <w:t>卸料</w:t>
            </w:r>
            <w:r>
              <w:rPr>
                <w:rFonts w:hint="eastAsia" w:cs="宋体"/>
                <w:color w:val="auto"/>
                <w:sz w:val="24"/>
                <w:lang w:bidi="ar"/>
              </w:rPr>
              <w:t>，生物质秸秆卸料量为5515t</w:t>
            </w:r>
            <w:r>
              <w:rPr>
                <w:rFonts w:hint="eastAsia"/>
                <w:color w:val="auto"/>
                <w:sz w:val="24"/>
                <w:lang w:bidi="zh-CN"/>
              </w:rPr>
              <w:t>，则粉尘产生量为1.65t/a，</w:t>
            </w:r>
            <w:r>
              <w:rPr>
                <w:rFonts w:hint="eastAsia" w:cs="宋体"/>
                <w:color w:val="auto"/>
                <w:sz w:val="24"/>
                <w:lang w:bidi="ar"/>
              </w:rPr>
              <w:t>本项目转运时间取</w:t>
            </w:r>
            <w:r>
              <w:rPr>
                <w:rFonts w:hint="eastAsia"/>
                <w:color w:val="auto"/>
                <w:sz w:val="24"/>
                <w:lang w:bidi="ar"/>
              </w:rPr>
              <w:t>2000</w:t>
            </w:r>
            <w:r>
              <w:rPr>
                <w:color w:val="auto"/>
                <w:sz w:val="24"/>
                <w:lang w:bidi="ar"/>
              </w:rPr>
              <w:t>h/a</w:t>
            </w:r>
            <w:r>
              <w:rPr>
                <w:rFonts w:hint="eastAsia" w:cs="宋体"/>
                <w:color w:val="auto"/>
                <w:sz w:val="24"/>
                <w:lang w:bidi="ar"/>
              </w:rPr>
              <w:t>，则秸秆转运粉尘产生速率为</w:t>
            </w:r>
            <w:r>
              <w:rPr>
                <w:rFonts w:hint="eastAsia"/>
                <w:color w:val="auto"/>
                <w:sz w:val="24"/>
                <w:lang w:bidi="ar"/>
              </w:rPr>
              <w:t>0.83</w:t>
            </w:r>
            <w:r>
              <w:rPr>
                <w:color w:val="auto"/>
                <w:sz w:val="24"/>
                <w:lang w:bidi="ar"/>
              </w:rPr>
              <w:t>kg/h</w:t>
            </w:r>
            <w:r>
              <w:rPr>
                <w:rFonts w:hint="eastAsia" w:cs="宋体"/>
                <w:color w:val="auto"/>
                <w:sz w:val="24"/>
                <w:lang w:bidi="ar"/>
              </w:rPr>
              <w:t>，</w:t>
            </w:r>
            <w:r>
              <w:rPr>
                <w:rFonts w:hint="eastAsia" w:cs="宋体"/>
                <w:bCs/>
                <w:color w:val="auto"/>
                <w:sz w:val="24"/>
              </w:rPr>
              <w:t>燃料堆场周边设置防风抑尘网，燃料采取苫盖，防风防雨，</w:t>
            </w:r>
            <w:r>
              <w:rPr>
                <w:rFonts w:hint="eastAsia"/>
                <w:bCs/>
                <w:color w:val="auto"/>
                <w:sz w:val="24"/>
              </w:rPr>
              <w:t>粉尘以无组织形式在厂区排放，粉尘产生量较小</w:t>
            </w:r>
            <w:r>
              <w:rPr>
                <w:rFonts w:hint="eastAsia"/>
                <w:color w:val="auto"/>
                <w:sz w:val="24"/>
              </w:rPr>
              <w:t>。</w:t>
            </w:r>
          </w:p>
          <w:p>
            <w:pPr>
              <w:pStyle w:val="36"/>
              <w:ind w:firstLine="482"/>
              <w:rPr>
                <w:b/>
                <w:bCs/>
                <w:color w:val="auto"/>
                <w:sz w:val="24"/>
                <w:lang w:val="en-US" w:eastAsia="zh-CN"/>
              </w:rPr>
            </w:pPr>
            <w:r>
              <w:rPr>
                <w:b/>
                <w:bCs/>
                <w:color w:val="auto"/>
                <w:sz w:val="24"/>
                <w:lang w:val="en-US" w:eastAsia="zh-CN"/>
              </w:rPr>
              <w:t>2、达标排放分析</w:t>
            </w:r>
          </w:p>
          <w:p>
            <w:pPr>
              <w:pStyle w:val="36"/>
              <w:ind w:firstLine="480"/>
              <w:rPr>
                <w:bCs/>
                <w:color w:val="auto"/>
                <w:sz w:val="24"/>
                <w:highlight w:val="yellow"/>
                <w:lang w:val="en-US" w:eastAsia="zh-CN"/>
              </w:rPr>
            </w:pPr>
            <w:r>
              <w:rPr>
                <w:color w:val="auto"/>
                <w:sz w:val="24"/>
                <w:lang w:val="en-US" w:eastAsia="zh-CN"/>
              </w:rPr>
              <w:t>本项目锅炉采用低氮燃烧技术，烟气经陶瓷多管+布袋除尘器（除尘效率99.</w:t>
            </w:r>
            <w:r>
              <w:rPr>
                <w:rFonts w:hint="eastAsia"/>
                <w:color w:val="auto"/>
                <w:sz w:val="24"/>
                <w:lang w:val="en-US" w:eastAsia="zh-CN"/>
              </w:rPr>
              <w:t>6</w:t>
            </w:r>
            <w:r>
              <w:rPr>
                <w:color w:val="auto"/>
                <w:sz w:val="24"/>
                <w:lang w:val="en-US" w:eastAsia="zh-CN"/>
              </w:rPr>
              <w:t>%）处理后通过</w:t>
            </w:r>
            <w:r>
              <w:rPr>
                <w:rFonts w:hint="eastAsia"/>
                <w:color w:val="auto"/>
                <w:sz w:val="24"/>
                <w:lang w:val="en-US" w:eastAsia="zh-CN"/>
              </w:rPr>
              <w:t>1根40</w:t>
            </w:r>
            <w:r>
              <w:rPr>
                <w:color w:val="auto"/>
                <w:sz w:val="24"/>
                <w:lang w:val="en-US" w:eastAsia="zh-CN"/>
              </w:rPr>
              <w:t>m高烟囱排放。</w:t>
            </w:r>
            <w:r>
              <w:rPr>
                <w:bCs/>
                <w:color w:val="auto"/>
                <w:sz w:val="24"/>
                <w:lang w:val="en-US" w:eastAsia="zh-CN"/>
              </w:rPr>
              <w:t>颗粒物排放浓度为</w:t>
            </w:r>
            <w:r>
              <w:rPr>
                <w:rFonts w:hint="eastAsia"/>
                <w:bCs/>
                <w:color w:val="auto"/>
                <w:sz w:val="24"/>
                <w:lang w:val="en-US" w:eastAsia="zh-CN"/>
              </w:rPr>
              <w:t>34.48</w:t>
            </w:r>
            <w:r>
              <w:rPr>
                <w:bCs/>
                <w:color w:val="auto"/>
                <w:sz w:val="24"/>
                <w:lang w:val="en-US" w:eastAsia="zh-CN"/>
              </w:rPr>
              <w:t>mg/m</w:t>
            </w:r>
            <w:r>
              <w:rPr>
                <w:bCs/>
                <w:color w:val="auto"/>
                <w:sz w:val="24"/>
                <w:vertAlign w:val="superscript"/>
                <w:lang w:val="en-US" w:eastAsia="zh-CN"/>
              </w:rPr>
              <w:t>3</w:t>
            </w:r>
            <w:r>
              <w:rPr>
                <w:bCs/>
                <w:color w:val="auto"/>
                <w:sz w:val="24"/>
                <w:lang w:val="en-US" w:eastAsia="zh-CN"/>
              </w:rPr>
              <w:t>、二氧化硫排放浓度为</w:t>
            </w:r>
            <w:r>
              <w:rPr>
                <w:rFonts w:hint="eastAsia"/>
                <w:bCs/>
                <w:color w:val="auto"/>
                <w:sz w:val="24"/>
                <w:lang w:val="en-US" w:eastAsia="zh-CN"/>
              </w:rPr>
              <w:t>105.58</w:t>
            </w:r>
            <w:r>
              <w:rPr>
                <w:bCs/>
                <w:color w:val="auto"/>
                <w:sz w:val="24"/>
                <w:lang w:val="en-US" w:eastAsia="zh-CN"/>
              </w:rPr>
              <w:t>mg/m</w:t>
            </w:r>
            <w:r>
              <w:rPr>
                <w:bCs/>
                <w:color w:val="auto"/>
                <w:sz w:val="24"/>
                <w:vertAlign w:val="superscript"/>
                <w:lang w:val="en-US" w:eastAsia="zh-CN"/>
              </w:rPr>
              <w:t>3</w:t>
            </w:r>
            <w:r>
              <w:rPr>
                <w:bCs/>
                <w:color w:val="auto"/>
                <w:sz w:val="24"/>
                <w:lang w:val="en-US" w:eastAsia="zh-CN"/>
              </w:rPr>
              <w:t>、氮氧化物排放浓度为</w:t>
            </w:r>
            <w:r>
              <w:rPr>
                <w:rFonts w:hint="eastAsia"/>
                <w:bCs/>
                <w:color w:val="auto"/>
                <w:sz w:val="24"/>
                <w:lang w:val="en-US" w:eastAsia="zh-CN"/>
              </w:rPr>
              <w:t>21</w:t>
            </w:r>
            <w:r>
              <w:rPr>
                <w:bCs/>
                <w:color w:val="auto"/>
                <w:sz w:val="24"/>
                <w:lang w:val="en-US" w:eastAsia="zh-CN"/>
              </w:rPr>
              <w:t>0mg/m</w:t>
            </w:r>
            <w:r>
              <w:rPr>
                <w:bCs/>
                <w:color w:val="auto"/>
                <w:sz w:val="24"/>
                <w:vertAlign w:val="superscript"/>
                <w:lang w:val="en-US" w:eastAsia="zh-CN"/>
              </w:rPr>
              <w:t>3</w:t>
            </w:r>
            <w:r>
              <w:rPr>
                <w:bCs/>
                <w:color w:val="auto"/>
                <w:sz w:val="24"/>
                <w:lang w:val="en-US" w:eastAsia="zh-CN"/>
              </w:rPr>
              <w:t>、烟气黑度＜1级，</w:t>
            </w:r>
            <w:r>
              <w:rPr>
                <w:rFonts w:hint="eastAsia"/>
                <w:bCs/>
                <w:color w:val="auto"/>
                <w:sz w:val="24"/>
                <w:lang w:val="en-US" w:eastAsia="zh-CN"/>
              </w:rPr>
              <w:t>烟囱高度40m，</w:t>
            </w:r>
            <w:r>
              <w:rPr>
                <w:color w:val="auto"/>
                <w:sz w:val="24"/>
                <w:lang w:val="en-US" w:eastAsia="zh-CN"/>
              </w:rPr>
              <w:t>满足《锅炉大气污染物排放标准》（GB13271-2014）表2中</w:t>
            </w:r>
            <w:r>
              <w:rPr>
                <w:bCs/>
                <w:color w:val="auto"/>
                <w:sz w:val="24"/>
                <w:lang w:val="en-US" w:eastAsia="zh-CN"/>
              </w:rPr>
              <w:t>燃煤锅炉大气污染物排放浓度限值要求。</w:t>
            </w:r>
            <w:r>
              <w:rPr>
                <w:color w:val="auto"/>
                <w:sz w:val="24"/>
                <w:lang w:val="en-US" w:eastAsia="zh-CN"/>
              </w:rPr>
              <w:t>锅炉除尘措施为陶瓷多管+布袋除尘技术，属于《排污许可证申请与核发技术规范 锅炉》（HJ953-2018）中的可行性技术。</w:t>
            </w:r>
          </w:p>
          <w:p>
            <w:pPr>
              <w:spacing w:line="360" w:lineRule="auto"/>
              <w:ind w:firstLine="480" w:firstLineChars="200"/>
              <w:rPr>
                <w:bCs/>
                <w:color w:val="auto"/>
                <w:kern w:val="0"/>
                <w:sz w:val="24"/>
              </w:rPr>
            </w:pPr>
            <w:r>
              <w:rPr>
                <w:rFonts w:hint="eastAsia"/>
                <w:bCs/>
                <w:color w:val="auto"/>
                <w:sz w:val="24"/>
              </w:rPr>
              <w:t>本项目灰渣采用湿式除渣，存放于运输车内，采用苫布苫盖，及时清运，不长期储存；秸秆堆垛过程中会产生少量的粉尘，燃料堆场周边设置防风抑尘网，采用苫布苫盖，粉尘产生量较小。厂界无组织颗粒物满足</w:t>
            </w:r>
            <w:r>
              <w:rPr>
                <w:bCs/>
                <w:color w:val="auto"/>
                <w:sz w:val="24"/>
              </w:rPr>
              <w:t>《大气污染物综合排放标准》（GB16297-1996）表2中无组织排放监控浓度限值要求</w:t>
            </w:r>
            <w:r>
              <w:rPr>
                <w:bCs/>
                <w:color w:val="auto"/>
                <w:kern w:val="0"/>
                <w:sz w:val="24"/>
              </w:rPr>
              <w:t>。</w:t>
            </w:r>
          </w:p>
          <w:p>
            <w:pPr>
              <w:spacing w:line="360" w:lineRule="auto"/>
              <w:ind w:firstLine="482" w:firstLineChars="200"/>
              <w:rPr>
                <w:b/>
                <w:bCs/>
                <w:color w:val="auto"/>
                <w:sz w:val="24"/>
              </w:rPr>
            </w:pPr>
            <w:r>
              <w:rPr>
                <w:b/>
                <w:bCs/>
                <w:color w:val="auto"/>
                <w:sz w:val="24"/>
              </w:rPr>
              <w:t>3、本项目非正常工况</w:t>
            </w:r>
          </w:p>
          <w:p>
            <w:pPr>
              <w:spacing w:line="360" w:lineRule="auto"/>
              <w:ind w:firstLine="480" w:firstLineChars="200"/>
              <w:rPr>
                <w:color w:val="auto"/>
                <w:sz w:val="24"/>
              </w:rPr>
            </w:pPr>
            <w:r>
              <w:rPr>
                <w:color w:val="auto"/>
                <w:sz w:val="24"/>
              </w:rPr>
              <w:t>参照《污染源源强核算技术指南-火电》</w:t>
            </w:r>
            <w:r>
              <w:rPr>
                <w:rFonts w:hint="eastAsia"/>
                <w:color w:val="auto"/>
                <w:sz w:val="24"/>
              </w:rPr>
              <w:t>（HJ888-2018）</w:t>
            </w:r>
            <w:r>
              <w:rPr>
                <w:color w:val="auto"/>
                <w:sz w:val="24"/>
              </w:rPr>
              <w:t>，本项目非正常工况设定情景及计算数据如下：</w:t>
            </w:r>
          </w:p>
          <w:p>
            <w:pPr>
              <w:spacing w:line="360" w:lineRule="auto"/>
              <w:ind w:firstLine="480" w:firstLineChars="200"/>
              <w:rPr>
                <w:color w:val="auto"/>
                <w:sz w:val="24"/>
              </w:rPr>
            </w:pPr>
            <w:r>
              <w:rPr>
                <w:color w:val="auto"/>
                <w:sz w:val="24"/>
              </w:rPr>
              <w:t>布袋除尘器滤袋破损期间按下式计算烟尘排放增加量：</w:t>
            </w:r>
          </w:p>
          <w:p>
            <w:pPr>
              <w:spacing w:line="360" w:lineRule="auto"/>
              <w:jc w:val="center"/>
              <w:rPr>
                <w:color w:val="auto"/>
                <w:sz w:val="24"/>
              </w:rPr>
            </w:pPr>
            <w:r>
              <w:rPr>
                <w:color w:val="auto"/>
                <w:sz w:val="24"/>
              </w:rPr>
              <w:drawing>
                <wp:inline distT="0" distB="0" distL="114300" distR="114300">
                  <wp:extent cx="1757680" cy="281305"/>
                  <wp:effectExtent l="0" t="0" r="10160" b="8255"/>
                  <wp:docPr id="13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6"/>
                          <pic:cNvPicPr>
                            <a:picLocks noChangeAspect="1"/>
                          </pic:cNvPicPr>
                        </pic:nvPicPr>
                        <pic:blipFill>
                          <a:blip r:embed="rId19"/>
                          <a:stretch>
                            <a:fillRect/>
                          </a:stretch>
                        </pic:blipFill>
                        <pic:spPr>
                          <a:xfrm>
                            <a:off x="0" y="0"/>
                            <a:ext cx="1757680" cy="281305"/>
                          </a:xfrm>
                          <a:prstGeom prst="rect">
                            <a:avLst/>
                          </a:prstGeom>
                          <a:noFill/>
                          <a:ln>
                            <a:noFill/>
                          </a:ln>
                        </pic:spPr>
                      </pic:pic>
                    </a:graphicData>
                  </a:graphic>
                </wp:inline>
              </w:drawing>
            </w:r>
          </w:p>
          <w:p>
            <w:pPr>
              <w:spacing w:line="360" w:lineRule="auto"/>
              <w:ind w:firstLine="480" w:firstLineChars="200"/>
              <w:rPr>
                <w:color w:val="auto"/>
                <w:sz w:val="24"/>
              </w:rPr>
            </w:pPr>
            <w:r>
              <w:rPr>
                <w:color w:val="auto"/>
                <w:sz w:val="24"/>
              </w:rPr>
              <w:t>式中：ΔM</w:t>
            </w:r>
            <w:r>
              <w:rPr>
                <w:color w:val="auto"/>
                <w:sz w:val="24"/>
                <w:vertAlign w:val="subscript"/>
              </w:rPr>
              <w:t>A</w:t>
            </w:r>
            <w:r>
              <w:rPr>
                <w:color w:val="auto"/>
                <w:sz w:val="24"/>
              </w:rPr>
              <w:t>——滤袋破损后增加的烟尘排放量，g/s；</w:t>
            </w:r>
          </w:p>
          <w:p>
            <w:pPr>
              <w:spacing w:line="360" w:lineRule="auto"/>
              <w:ind w:firstLine="1200" w:firstLineChars="500"/>
              <w:rPr>
                <w:color w:val="auto"/>
                <w:sz w:val="24"/>
              </w:rPr>
            </w:pPr>
            <w:r>
              <w:rPr>
                <w:color w:val="auto"/>
                <w:sz w:val="24"/>
              </w:rPr>
              <w:t>ρd——原烟气含尘质量浓度，g/m</w:t>
            </w:r>
            <w:r>
              <w:rPr>
                <w:color w:val="auto"/>
                <w:sz w:val="24"/>
                <w:vertAlign w:val="superscript"/>
              </w:rPr>
              <w:t>3</w:t>
            </w:r>
            <w:r>
              <w:rPr>
                <w:color w:val="auto"/>
                <w:sz w:val="24"/>
              </w:rPr>
              <w:t>；烟囱烟尘为</w:t>
            </w:r>
            <w:r>
              <w:rPr>
                <w:rFonts w:hint="eastAsia"/>
                <w:color w:val="auto"/>
                <w:sz w:val="24"/>
              </w:rPr>
              <w:t>8.62</w:t>
            </w:r>
            <w:r>
              <w:rPr>
                <w:color w:val="auto"/>
                <w:sz w:val="24"/>
              </w:rPr>
              <w:t>g/m</w:t>
            </w:r>
            <w:r>
              <w:rPr>
                <w:color w:val="auto"/>
                <w:sz w:val="24"/>
                <w:vertAlign w:val="superscript"/>
              </w:rPr>
              <w:t>3</w:t>
            </w:r>
            <w:r>
              <w:rPr>
                <w:color w:val="auto"/>
                <w:sz w:val="24"/>
              </w:rPr>
              <w:t>；</w:t>
            </w:r>
          </w:p>
          <w:p>
            <w:pPr>
              <w:spacing w:line="360" w:lineRule="auto"/>
              <w:ind w:firstLine="1200" w:firstLineChars="500"/>
              <w:rPr>
                <w:color w:val="auto"/>
                <w:sz w:val="24"/>
              </w:rPr>
            </w:pPr>
            <w:r>
              <w:rPr>
                <w:color w:val="auto"/>
                <w:sz w:val="24"/>
              </w:rPr>
              <w:t>S——滤袋破口面积，m</w:t>
            </w:r>
            <w:r>
              <w:rPr>
                <w:color w:val="auto"/>
                <w:sz w:val="24"/>
                <w:vertAlign w:val="superscript"/>
              </w:rPr>
              <w:t>2</w:t>
            </w:r>
            <w:r>
              <w:rPr>
                <w:color w:val="auto"/>
                <w:sz w:val="24"/>
              </w:rPr>
              <w:t>；取0.05m</w:t>
            </w:r>
            <w:r>
              <w:rPr>
                <w:color w:val="auto"/>
                <w:sz w:val="24"/>
                <w:vertAlign w:val="superscript"/>
              </w:rPr>
              <w:t>2</w:t>
            </w:r>
          </w:p>
          <w:p>
            <w:pPr>
              <w:spacing w:line="360" w:lineRule="auto"/>
              <w:ind w:firstLine="1200" w:firstLineChars="500"/>
              <w:rPr>
                <w:color w:val="auto"/>
                <w:sz w:val="24"/>
              </w:rPr>
            </w:pPr>
            <w:r>
              <w:rPr>
                <w:color w:val="auto"/>
                <w:sz w:val="24"/>
              </w:rPr>
              <w:t>v——滤袋破洞处烟气流速，m/s，取25m/s。</w:t>
            </w:r>
          </w:p>
          <w:p>
            <w:pPr>
              <w:spacing w:line="360" w:lineRule="auto"/>
              <w:ind w:firstLine="480" w:firstLineChars="200"/>
              <w:rPr>
                <w:b/>
                <w:color w:val="auto"/>
              </w:rPr>
            </w:pPr>
            <w:r>
              <w:rPr>
                <w:color w:val="auto"/>
                <w:sz w:val="24"/>
              </w:rPr>
              <w:t>计算得出烟囱增加颗粒物排放量为</w:t>
            </w:r>
            <w:r>
              <w:rPr>
                <w:rFonts w:hint="eastAsia"/>
                <w:color w:val="auto"/>
                <w:sz w:val="24"/>
              </w:rPr>
              <w:t>10.8</w:t>
            </w:r>
            <w:r>
              <w:rPr>
                <w:color w:val="auto"/>
                <w:sz w:val="24"/>
              </w:rPr>
              <w:t>g/s，</w:t>
            </w:r>
            <w:r>
              <w:rPr>
                <w:rFonts w:hint="eastAsia"/>
                <w:color w:val="auto"/>
                <w:sz w:val="24"/>
              </w:rPr>
              <w:t>38.8</w:t>
            </w:r>
            <w:r>
              <w:rPr>
                <w:color w:val="auto"/>
                <w:sz w:val="24"/>
              </w:rPr>
              <w:t>kg/h，加上正常排放量，得出非正常工况下颗粒物排放速率为</w:t>
            </w:r>
            <w:r>
              <w:rPr>
                <w:rFonts w:hint="eastAsia"/>
                <w:color w:val="auto"/>
                <w:sz w:val="24"/>
              </w:rPr>
              <w:t>39.25</w:t>
            </w:r>
            <w:r>
              <w:rPr>
                <w:color w:val="auto"/>
                <w:sz w:val="24"/>
              </w:rPr>
              <w:t>kg/h。</w:t>
            </w:r>
          </w:p>
          <w:p>
            <w:pPr>
              <w:pStyle w:val="37"/>
              <w:spacing w:line="360" w:lineRule="auto"/>
              <w:rPr>
                <w:rFonts w:ascii="Times New Roman" w:hAnsi="Times New Roman" w:eastAsia="宋体"/>
                <w:b/>
                <w:color w:val="auto"/>
              </w:rPr>
            </w:pPr>
            <w:r>
              <w:rPr>
                <w:rFonts w:ascii="Times New Roman" w:hAnsi="Times New Roman" w:eastAsia="宋体"/>
                <w:b/>
                <w:color w:val="auto"/>
              </w:rPr>
              <w:t>表4-3非正常排放参数表</w:t>
            </w:r>
          </w:p>
          <w:tbl>
            <w:tblPr>
              <w:tblStyle w:val="15"/>
              <w:tblW w:w="4871"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920"/>
              <w:gridCol w:w="1213"/>
              <w:gridCol w:w="715"/>
              <w:gridCol w:w="1019"/>
              <w:gridCol w:w="1218"/>
              <w:gridCol w:w="860"/>
              <w:gridCol w:w="820"/>
              <w:gridCol w:w="954"/>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596" w:type="pct"/>
                  <w:noWrap w:val="0"/>
                  <w:vAlign w:val="center"/>
                </w:tcPr>
                <w:p>
                  <w:pPr>
                    <w:spacing w:line="0" w:lineRule="atLeast"/>
                    <w:jc w:val="center"/>
                    <w:rPr>
                      <w:color w:val="auto"/>
                      <w:szCs w:val="21"/>
                    </w:rPr>
                  </w:pPr>
                  <w:r>
                    <w:rPr>
                      <w:color w:val="auto"/>
                      <w:szCs w:val="21"/>
                    </w:rPr>
                    <w:t>非正常排放源</w:t>
                  </w:r>
                </w:p>
              </w:tc>
              <w:tc>
                <w:tcPr>
                  <w:tcW w:w="786" w:type="pct"/>
                  <w:noWrap w:val="0"/>
                  <w:vAlign w:val="center"/>
                </w:tcPr>
                <w:p>
                  <w:pPr>
                    <w:spacing w:line="0" w:lineRule="atLeast"/>
                    <w:jc w:val="center"/>
                    <w:rPr>
                      <w:color w:val="auto"/>
                      <w:szCs w:val="21"/>
                    </w:rPr>
                  </w:pPr>
                  <w:r>
                    <w:rPr>
                      <w:color w:val="auto"/>
                      <w:szCs w:val="21"/>
                    </w:rPr>
                    <w:t>非正常排放原因</w:t>
                  </w:r>
                </w:p>
              </w:tc>
              <w:tc>
                <w:tcPr>
                  <w:tcW w:w="463" w:type="pct"/>
                  <w:noWrap w:val="0"/>
                  <w:vAlign w:val="center"/>
                </w:tcPr>
                <w:p>
                  <w:pPr>
                    <w:spacing w:line="0" w:lineRule="atLeast"/>
                    <w:jc w:val="center"/>
                    <w:rPr>
                      <w:color w:val="auto"/>
                      <w:szCs w:val="21"/>
                    </w:rPr>
                  </w:pPr>
                  <w:r>
                    <w:rPr>
                      <w:color w:val="auto"/>
                      <w:szCs w:val="21"/>
                    </w:rPr>
                    <w:t>污染物</w:t>
                  </w:r>
                </w:p>
              </w:tc>
              <w:tc>
                <w:tcPr>
                  <w:tcW w:w="660" w:type="pct"/>
                  <w:noWrap w:val="0"/>
                  <w:vAlign w:val="center"/>
                </w:tcPr>
                <w:p>
                  <w:pPr>
                    <w:spacing w:line="0" w:lineRule="atLeast"/>
                    <w:jc w:val="center"/>
                    <w:rPr>
                      <w:color w:val="auto"/>
                      <w:szCs w:val="21"/>
                    </w:rPr>
                  </w:pPr>
                  <w:r>
                    <w:rPr>
                      <w:color w:val="auto"/>
                      <w:szCs w:val="21"/>
                    </w:rPr>
                    <w:t>非正常排放速率(kg/h)</w:t>
                  </w:r>
                </w:p>
              </w:tc>
              <w:tc>
                <w:tcPr>
                  <w:tcW w:w="789" w:type="pct"/>
                  <w:noWrap w:val="0"/>
                  <w:vAlign w:val="center"/>
                </w:tcPr>
                <w:p>
                  <w:pPr>
                    <w:spacing w:line="0" w:lineRule="atLeast"/>
                    <w:jc w:val="center"/>
                    <w:rPr>
                      <w:color w:val="auto"/>
                      <w:szCs w:val="21"/>
                    </w:rPr>
                  </w:pPr>
                  <w:r>
                    <w:rPr>
                      <w:color w:val="auto"/>
                      <w:szCs w:val="21"/>
                    </w:rPr>
                    <w:t>非正常排放浓度</w:t>
                  </w:r>
                  <w:r>
                    <w:rPr>
                      <w:rFonts w:hint="eastAsia"/>
                      <w:color w:val="auto"/>
                      <w:szCs w:val="21"/>
                    </w:rPr>
                    <w:t>（</w:t>
                  </w:r>
                  <w:r>
                    <w:rPr>
                      <w:color w:val="auto"/>
                      <w:szCs w:val="21"/>
                    </w:rPr>
                    <w:t>mg/m</w:t>
                  </w:r>
                  <w:r>
                    <w:rPr>
                      <w:color w:val="auto"/>
                      <w:szCs w:val="21"/>
                      <w:vertAlign w:val="superscript"/>
                    </w:rPr>
                    <w:t>3</w:t>
                  </w:r>
                  <w:r>
                    <w:rPr>
                      <w:rFonts w:hint="eastAsia"/>
                      <w:color w:val="auto"/>
                      <w:szCs w:val="21"/>
                    </w:rPr>
                    <w:t>）</w:t>
                  </w:r>
                </w:p>
              </w:tc>
              <w:tc>
                <w:tcPr>
                  <w:tcW w:w="557" w:type="pct"/>
                  <w:noWrap w:val="0"/>
                  <w:vAlign w:val="center"/>
                </w:tcPr>
                <w:p>
                  <w:pPr>
                    <w:spacing w:line="0" w:lineRule="atLeast"/>
                    <w:jc w:val="center"/>
                    <w:rPr>
                      <w:color w:val="auto"/>
                      <w:szCs w:val="21"/>
                    </w:rPr>
                  </w:pPr>
                  <w:r>
                    <w:rPr>
                      <w:color w:val="auto"/>
                      <w:szCs w:val="21"/>
                    </w:rPr>
                    <w:t>单次持续时间/h</w:t>
                  </w:r>
                </w:p>
              </w:tc>
              <w:tc>
                <w:tcPr>
                  <w:tcW w:w="531" w:type="pct"/>
                  <w:noWrap w:val="0"/>
                  <w:vAlign w:val="center"/>
                </w:tcPr>
                <w:p>
                  <w:pPr>
                    <w:spacing w:line="0" w:lineRule="atLeast"/>
                    <w:jc w:val="center"/>
                    <w:rPr>
                      <w:color w:val="auto"/>
                      <w:szCs w:val="21"/>
                    </w:rPr>
                  </w:pPr>
                  <w:r>
                    <w:rPr>
                      <w:color w:val="auto"/>
                      <w:szCs w:val="21"/>
                    </w:rPr>
                    <w:t>年发生频次/次</w:t>
                  </w:r>
                </w:p>
              </w:tc>
              <w:tc>
                <w:tcPr>
                  <w:tcW w:w="618" w:type="pct"/>
                  <w:noWrap w:val="0"/>
                  <w:vAlign w:val="center"/>
                </w:tcPr>
                <w:p>
                  <w:pPr>
                    <w:spacing w:line="0" w:lineRule="atLeast"/>
                    <w:jc w:val="center"/>
                    <w:rPr>
                      <w:color w:val="auto"/>
                      <w:szCs w:val="21"/>
                    </w:rPr>
                  </w:pPr>
                  <w:r>
                    <w:rPr>
                      <w:color w:val="auto"/>
                      <w:szCs w:val="21"/>
                    </w:rPr>
                    <w:t>应对措施</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 w:hRule="atLeast"/>
              </w:trPr>
              <w:tc>
                <w:tcPr>
                  <w:tcW w:w="596" w:type="pct"/>
                  <w:noWrap w:val="0"/>
                  <w:vAlign w:val="center"/>
                </w:tcPr>
                <w:p>
                  <w:pPr>
                    <w:spacing w:line="0" w:lineRule="atLeast"/>
                    <w:jc w:val="center"/>
                    <w:rPr>
                      <w:color w:val="auto"/>
                      <w:szCs w:val="21"/>
                    </w:rPr>
                  </w:pPr>
                  <w:r>
                    <w:rPr>
                      <w:color w:val="auto"/>
                      <w:szCs w:val="21"/>
                    </w:rPr>
                    <w:t>DA001</w:t>
                  </w:r>
                </w:p>
              </w:tc>
              <w:tc>
                <w:tcPr>
                  <w:tcW w:w="786" w:type="pct"/>
                  <w:noWrap w:val="0"/>
                  <w:vAlign w:val="center"/>
                </w:tcPr>
                <w:p>
                  <w:pPr>
                    <w:spacing w:line="0" w:lineRule="atLeast"/>
                    <w:jc w:val="center"/>
                    <w:rPr>
                      <w:color w:val="auto"/>
                      <w:szCs w:val="21"/>
                    </w:rPr>
                  </w:pPr>
                  <w:r>
                    <w:rPr>
                      <w:color w:val="auto"/>
                      <w:szCs w:val="21"/>
                    </w:rPr>
                    <w:t>布袋除尘器滤袋破损</w:t>
                  </w:r>
                </w:p>
              </w:tc>
              <w:tc>
                <w:tcPr>
                  <w:tcW w:w="463" w:type="pct"/>
                  <w:noWrap w:val="0"/>
                  <w:vAlign w:val="center"/>
                </w:tcPr>
                <w:p>
                  <w:pPr>
                    <w:spacing w:line="0" w:lineRule="atLeast"/>
                    <w:jc w:val="center"/>
                    <w:rPr>
                      <w:color w:val="auto"/>
                      <w:szCs w:val="21"/>
                    </w:rPr>
                  </w:pPr>
                  <w:r>
                    <w:rPr>
                      <w:color w:val="auto"/>
                      <w:szCs w:val="21"/>
                    </w:rPr>
                    <w:t>颗粒物</w:t>
                  </w:r>
                </w:p>
              </w:tc>
              <w:tc>
                <w:tcPr>
                  <w:tcW w:w="660" w:type="pct"/>
                  <w:noWrap w:val="0"/>
                  <w:vAlign w:val="center"/>
                </w:tcPr>
                <w:p>
                  <w:pPr>
                    <w:spacing w:line="0" w:lineRule="atLeast"/>
                    <w:jc w:val="center"/>
                    <w:rPr>
                      <w:color w:val="auto"/>
                      <w:szCs w:val="21"/>
                    </w:rPr>
                  </w:pPr>
                  <w:r>
                    <w:rPr>
                      <w:rFonts w:hint="eastAsia"/>
                      <w:color w:val="auto"/>
                      <w:szCs w:val="21"/>
                    </w:rPr>
                    <w:t>39.25</w:t>
                  </w:r>
                </w:p>
              </w:tc>
              <w:tc>
                <w:tcPr>
                  <w:tcW w:w="789" w:type="pct"/>
                  <w:noWrap w:val="0"/>
                  <w:vAlign w:val="center"/>
                </w:tcPr>
                <w:p>
                  <w:pPr>
                    <w:widowControl/>
                    <w:jc w:val="center"/>
                    <w:rPr>
                      <w:color w:val="auto"/>
                      <w:kern w:val="0"/>
                      <w:szCs w:val="21"/>
                    </w:rPr>
                  </w:pPr>
                  <w:r>
                    <w:rPr>
                      <w:rFonts w:hint="eastAsia"/>
                      <w:color w:val="auto"/>
                      <w:kern w:val="0"/>
                      <w:szCs w:val="21"/>
                    </w:rPr>
                    <w:t>3024.8</w:t>
                  </w:r>
                </w:p>
              </w:tc>
              <w:tc>
                <w:tcPr>
                  <w:tcW w:w="557" w:type="pct"/>
                  <w:noWrap w:val="0"/>
                  <w:vAlign w:val="center"/>
                </w:tcPr>
                <w:p>
                  <w:pPr>
                    <w:spacing w:line="0" w:lineRule="atLeast"/>
                    <w:jc w:val="center"/>
                    <w:rPr>
                      <w:color w:val="auto"/>
                      <w:szCs w:val="21"/>
                    </w:rPr>
                  </w:pPr>
                  <w:r>
                    <w:rPr>
                      <w:color w:val="auto"/>
                      <w:szCs w:val="21"/>
                    </w:rPr>
                    <w:t>＜1</w:t>
                  </w:r>
                </w:p>
              </w:tc>
              <w:tc>
                <w:tcPr>
                  <w:tcW w:w="531" w:type="pct"/>
                  <w:noWrap w:val="0"/>
                  <w:vAlign w:val="center"/>
                </w:tcPr>
                <w:p>
                  <w:pPr>
                    <w:spacing w:line="0" w:lineRule="atLeast"/>
                    <w:jc w:val="center"/>
                    <w:rPr>
                      <w:color w:val="auto"/>
                      <w:szCs w:val="21"/>
                    </w:rPr>
                  </w:pPr>
                  <w:r>
                    <w:rPr>
                      <w:color w:val="auto"/>
                      <w:szCs w:val="21"/>
                    </w:rPr>
                    <w:t>1</w:t>
                  </w:r>
                </w:p>
              </w:tc>
              <w:tc>
                <w:tcPr>
                  <w:tcW w:w="618" w:type="pct"/>
                  <w:noWrap w:val="0"/>
                  <w:vAlign w:val="center"/>
                </w:tcPr>
                <w:p>
                  <w:pPr>
                    <w:spacing w:line="0" w:lineRule="atLeast"/>
                    <w:jc w:val="center"/>
                    <w:rPr>
                      <w:color w:val="auto"/>
                      <w:szCs w:val="21"/>
                    </w:rPr>
                  </w:pPr>
                  <w:r>
                    <w:rPr>
                      <w:color w:val="auto"/>
                      <w:szCs w:val="21"/>
                    </w:rPr>
                    <w:t>及时检修，加强维护</w:t>
                  </w:r>
                </w:p>
              </w:tc>
            </w:tr>
          </w:tbl>
          <w:p>
            <w:pPr>
              <w:spacing w:line="360" w:lineRule="auto"/>
              <w:ind w:firstLine="482" w:firstLineChars="200"/>
              <w:rPr>
                <w:b/>
                <w:bCs/>
                <w:color w:val="auto"/>
                <w:kern w:val="0"/>
                <w:sz w:val="24"/>
              </w:rPr>
            </w:pPr>
            <w:r>
              <w:rPr>
                <w:b/>
                <w:bCs/>
                <w:color w:val="auto"/>
                <w:kern w:val="0"/>
                <w:sz w:val="24"/>
              </w:rPr>
              <w:t>4、监测计划</w:t>
            </w:r>
          </w:p>
          <w:p>
            <w:pPr>
              <w:spacing w:line="360" w:lineRule="auto"/>
              <w:ind w:firstLine="480" w:firstLineChars="200"/>
              <w:rPr>
                <w:rFonts w:hint="eastAsia"/>
                <w:color w:val="auto"/>
                <w:kern w:val="0"/>
                <w:sz w:val="24"/>
              </w:rPr>
            </w:pPr>
            <w:r>
              <w:rPr>
                <w:rFonts w:hint="eastAsia"/>
                <w:color w:val="auto"/>
                <w:kern w:val="0"/>
                <w:sz w:val="24"/>
              </w:rPr>
              <w:t>根据</w:t>
            </w:r>
            <w:r>
              <w:rPr>
                <w:color w:val="auto"/>
                <w:kern w:val="0"/>
                <w:sz w:val="24"/>
              </w:rPr>
              <w:t>《排污单位自行监测技术指南 火力发电及锅炉》（HJ820-2017）要求，本项目污染源监测计划见下表。</w:t>
            </w:r>
          </w:p>
          <w:p>
            <w:pPr>
              <w:pStyle w:val="37"/>
              <w:spacing w:line="360" w:lineRule="auto"/>
              <w:ind w:firstLine="482" w:firstLineChars="200"/>
              <w:rPr>
                <w:rFonts w:ascii="Times New Roman" w:hAnsi="Times New Roman" w:eastAsia="宋体"/>
                <w:b/>
                <w:color w:val="auto"/>
              </w:rPr>
            </w:pPr>
            <w:r>
              <w:rPr>
                <w:rFonts w:ascii="Times New Roman" w:hAnsi="Times New Roman" w:eastAsia="宋体"/>
                <w:b/>
                <w:color w:val="auto"/>
              </w:rPr>
              <w:t>表4-4 大气污染源监测计划一览表</w:t>
            </w:r>
          </w:p>
          <w:tbl>
            <w:tblPr>
              <w:tblStyle w:val="15"/>
              <w:tblW w:w="491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216"/>
              <w:gridCol w:w="2715"/>
              <w:gridCol w:w="2639"/>
              <w:gridCol w:w="122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780" w:type="pct"/>
                  <w:noWrap w:val="0"/>
                  <w:vAlign w:val="center"/>
                </w:tcPr>
                <w:p>
                  <w:pPr>
                    <w:widowControl/>
                    <w:adjustRightInd w:val="0"/>
                    <w:snapToGrid w:val="0"/>
                    <w:jc w:val="center"/>
                    <w:rPr>
                      <w:color w:val="auto"/>
                      <w:kern w:val="0"/>
                      <w:szCs w:val="21"/>
                      <w:lang w:val="zh-CN"/>
                    </w:rPr>
                  </w:pPr>
                  <w:r>
                    <w:rPr>
                      <w:color w:val="auto"/>
                      <w:kern w:val="0"/>
                      <w:szCs w:val="21"/>
                      <w:lang w:val="zh-CN"/>
                    </w:rPr>
                    <w:t>类别</w:t>
                  </w:r>
                </w:p>
              </w:tc>
              <w:tc>
                <w:tcPr>
                  <w:tcW w:w="1742" w:type="pct"/>
                  <w:noWrap w:val="0"/>
                  <w:vAlign w:val="center"/>
                </w:tcPr>
                <w:p>
                  <w:pPr>
                    <w:widowControl/>
                    <w:adjustRightInd w:val="0"/>
                    <w:snapToGrid w:val="0"/>
                    <w:jc w:val="center"/>
                    <w:rPr>
                      <w:color w:val="auto"/>
                      <w:kern w:val="0"/>
                      <w:szCs w:val="21"/>
                      <w:lang w:val="zh-CN"/>
                    </w:rPr>
                  </w:pPr>
                  <w:r>
                    <w:rPr>
                      <w:color w:val="auto"/>
                      <w:kern w:val="0"/>
                      <w:szCs w:val="21"/>
                      <w:lang w:val="zh-CN"/>
                    </w:rPr>
                    <w:t>监测因子</w:t>
                  </w:r>
                </w:p>
              </w:tc>
              <w:tc>
                <w:tcPr>
                  <w:tcW w:w="1694" w:type="pct"/>
                  <w:noWrap w:val="0"/>
                  <w:vAlign w:val="center"/>
                </w:tcPr>
                <w:p>
                  <w:pPr>
                    <w:widowControl/>
                    <w:adjustRightInd w:val="0"/>
                    <w:snapToGrid w:val="0"/>
                    <w:jc w:val="center"/>
                    <w:rPr>
                      <w:color w:val="auto"/>
                      <w:kern w:val="0"/>
                      <w:szCs w:val="21"/>
                      <w:lang w:val="zh-CN"/>
                    </w:rPr>
                  </w:pPr>
                  <w:r>
                    <w:rPr>
                      <w:color w:val="auto"/>
                      <w:kern w:val="0"/>
                      <w:szCs w:val="21"/>
                      <w:lang w:val="zh-CN"/>
                    </w:rPr>
                    <w:t>监测点位</w:t>
                  </w:r>
                </w:p>
              </w:tc>
              <w:tc>
                <w:tcPr>
                  <w:tcW w:w="783" w:type="pct"/>
                  <w:noWrap w:val="0"/>
                  <w:vAlign w:val="center"/>
                </w:tcPr>
                <w:p>
                  <w:pPr>
                    <w:widowControl/>
                    <w:adjustRightInd w:val="0"/>
                    <w:snapToGrid w:val="0"/>
                    <w:jc w:val="center"/>
                    <w:rPr>
                      <w:color w:val="auto"/>
                      <w:kern w:val="0"/>
                      <w:szCs w:val="21"/>
                      <w:lang w:val="zh-CN"/>
                    </w:rPr>
                  </w:pPr>
                  <w:r>
                    <w:rPr>
                      <w:color w:val="auto"/>
                      <w:kern w:val="0"/>
                      <w:szCs w:val="21"/>
                      <w:lang w:val="zh-CN"/>
                    </w:rPr>
                    <w:t>监测频率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780" w:type="pct"/>
                  <w:vMerge w:val="restart"/>
                  <w:noWrap w:val="0"/>
                  <w:vAlign w:val="center"/>
                </w:tcPr>
                <w:p>
                  <w:pPr>
                    <w:widowControl/>
                    <w:adjustRightInd w:val="0"/>
                    <w:snapToGrid w:val="0"/>
                    <w:jc w:val="center"/>
                    <w:rPr>
                      <w:color w:val="auto"/>
                      <w:kern w:val="0"/>
                      <w:szCs w:val="21"/>
                    </w:rPr>
                  </w:pPr>
                  <w:r>
                    <w:rPr>
                      <w:color w:val="auto"/>
                      <w:kern w:val="0"/>
                      <w:szCs w:val="21"/>
                      <w:lang w:val="zh-CN"/>
                    </w:rPr>
                    <w:t>大气</w:t>
                  </w:r>
                </w:p>
              </w:tc>
              <w:tc>
                <w:tcPr>
                  <w:tcW w:w="1742" w:type="pct"/>
                  <w:noWrap w:val="0"/>
                  <w:vAlign w:val="center"/>
                </w:tcPr>
                <w:p>
                  <w:pPr>
                    <w:widowControl/>
                    <w:adjustRightInd w:val="0"/>
                    <w:snapToGrid w:val="0"/>
                    <w:jc w:val="center"/>
                    <w:rPr>
                      <w:color w:val="auto"/>
                      <w:kern w:val="0"/>
                      <w:szCs w:val="21"/>
                    </w:rPr>
                  </w:pPr>
                  <w:r>
                    <w:rPr>
                      <w:color w:val="auto"/>
                      <w:kern w:val="0"/>
                      <w:szCs w:val="21"/>
                    </w:rPr>
                    <w:t>颗粒物</w:t>
                  </w:r>
                </w:p>
              </w:tc>
              <w:tc>
                <w:tcPr>
                  <w:tcW w:w="1694" w:type="pct"/>
                  <w:vMerge w:val="restart"/>
                  <w:noWrap w:val="0"/>
                  <w:vAlign w:val="center"/>
                </w:tcPr>
                <w:p>
                  <w:pPr>
                    <w:widowControl/>
                    <w:adjustRightInd w:val="0"/>
                    <w:snapToGrid w:val="0"/>
                    <w:jc w:val="center"/>
                    <w:rPr>
                      <w:color w:val="auto"/>
                      <w:kern w:val="0"/>
                      <w:szCs w:val="21"/>
                    </w:rPr>
                  </w:pPr>
                  <w:r>
                    <w:rPr>
                      <w:rFonts w:hint="eastAsia"/>
                      <w:color w:val="auto"/>
                      <w:kern w:val="0"/>
                      <w:szCs w:val="21"/>
                    </w:rPr>
                    <w:t>40</w:t>
                  </w:r>
                  <w:r>
                    <w:rPr>
                      <w:color w:val="auto"/>
                      <w:kern w:val="0"/>
                      <w:szCs w:val="21"/>
                    </w:rPr>
                    <w:t>m高烟囱DA001</w:t>
                  </w:r>
                </w:p>
              </w:tc>
              <w:tc>
                <w:tcPr>
                  <w:tcW w:w="783" w:type="pct"/>
                  <w:vMerge w:val="restart"/>
                  <w:noWrap w:val="0"/>
                  <w:vAlign w:val="center"/>
                </w:tcPr>
                <w:p>
                  <w:pPr>
                    <w:widowControl/>
                    <w:adjustRightInd w:val="0"/>
                    <w:snapToGrid w:val="0"/>
                    <w:jc w:val="center"/>
                    <w:rPr>
                      <w:color w:val="auto"/>
                      <w:kern w:val="0"/>
                      <w:szCs w:val="21"/>
                    </w:rPr>
                  </w:pPr>
                  <w:r>
                    <w:rPr>
                      <w:color w:val="auto"/>
                      <w:kern w:val="0"/>
                      <w:szCs w:val="21"/>
                    </w:rPr>
                    <w:t>1</w:t>
                  </w:r>
                  <w:r>
                    <w:rPr>
                      <w:color w:val="auto"/>
                      <w:kern w:val="0"/>
                      <w:szCs w:val="21"/>
                      <w:lang w:val="zh-CN"/>
                    </w:rPr>
                    <w:t>次</w:t>
                  </w:r>
                  <w:r>
                    <w:rPr>
                      <w:color w:val="auto"/>
                      <w:kern w:val="0"/>
                      <w:szCs w:val="21"/>
                    </w:rPr>
                    <w:t>/</w:t>
                  </w:r>
                  <w:r>
                    <w:rPr>
                      <w:color w:val="auto"/>
                      <w:kern w:val="0"/>
                      <w:szCs w:val="21"/>
                      <w:lang w:val="zh-CN"/>
                    </w:rPr>
                    <w:t>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780" w:type="pct"/>
                  <w:vMerge w:val="continue"/>
                  <w:noWrap w:val="0"/>
                  <w:vAlign w:val="center"/>
                </w:tcPr>
                <w:p>
                  <w:pPr>
                    <w:widowControl/>
                    <w:adjustRightInd w:val="0"/>
                    <w:snapToGrid w:val="0"/>
                    <w:jc w:val="center"/>
                    <w:rPr>
                      <w:color w:val="auto"/>
                      <w:kern w:val="0"/>
                      <w:szCs w:val="21"/>
                    </w:rPr>
                  </w:pPr>
                </w:p>
              </w:tc>
              <w:tc>
                <w:tcPr>
                  <w:tcW w:w="1742" w:type="pct"/>
                  <w:noWrap w:val="0"/>
                  <w:vAlign w:val="center"/>
                </w:tcPr>
                <w:p>
                  <w:pPr>
                    <w:widowControl/>
                    <w:adjustRightInd w:val="0"/>
                    <w:snapToGrid w:val="0"/>
                    <w:jc w:val="center"/>
                    <w:rPr>
                      <w:color w:val="auto"/>
                      <w:kern w:val="0"/>
                      <w:szCs w:val="21"/>
                    </w:rPr>
                  </w:pPr>
                  <w:r>
                    <w:rPr>
                      <w:color w:val="auto"/>
                      <w:kern w:val="0"/>
                      <w:szCs w:val="21"/>
                    </w:rPr>
                    <w:t>SO</w:t>
                  </w:r>
                  <w:r>
                    <w:rPr>
                      <w:color w:val="auto"/>
                      <w:kern w:val="0"/>
                      <w:szCs w:val="21"/>
                      <w:vertAlign w:val="subscript"/>
                    </w:rPr>
                    <w:t>2</w:t>
                  </w:r>
                </w:p>
              </w:tc>
              <w:tc>
                <w:tcPr>
                  <w:tcW w:w="1694" w:type="pct"/>
                  <w:vMerge w:val="continue"/>
                  <w:noWrap w:val="0"/>
                  <w:vAlign w:val="center"/>
                </w:tcPr>
                <w:p>
                  <w:pPr>
                    <w:widowControl/>
                    <w:adjustRightInd w:val="0"/>
                    <w:snapToGrid w:val="0"/>
                    <w:jc w:val="center"/>
                    <w:rPr>
                      <w:color w:val="auto"/>
                      <w:kern w:val="0"/>
                      <w:szCs w:val="21"/>
                    </w:rPr>
                  </w:pPr>
                </w:p>
              </w:tc>
              <w:tc>
                <w:tcPr>
                  <w:tcW w:w="783" w:type="pct"/>
                  <w:vMerge w:val="continue"/>
                  <w:noWrap w:val="0"/>
                  <w:vAlign w:val="center"/>
                </w:tcPr>
                <w:p>
                  <w:pPr>
                    <w:widowControl/>
                    <w:adjustRightInd w:val="0"/>
                    <w:snapToGrid w:val="0"/>
                    <w:jc w:val="center"/>
                    <w:rPr>
                      <w:color w:val="auto"/>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780" w:type="pct"/>
                  <w:vMerge w:val="continue"/>
                  <w:noWrap w:val="0"/>
                  <w:vAlign w:val="center"/>
                </w:tcPr>
                <w:p>
                  <w:pPr>
                    <w:widowControl/>
                    <w:adjustRightInd w:val="0"/>
                    <w:snapToGrid w:val="0"/>
                    <w:jc w:val="center"/>
                    <w:rPr>
                      <w:color w:val="auto"/>
                      <w:kern w:val="0"/>
                      <w:szCs w:val="21"/>
                    </w:rPr>
                  </w:pPr>
                </w:p>
              </w:tc>
              <w:tc>
                <w:tcPr>
                  <w:tcW w:w="1742" w:type="pct"/>
                  <w:noWrap w:val="0"/>
                  <w:vAlign w:val="center"/>
                </w:tcPr>
                <w:p>
                  <w:pPr>
                    <w:widowControl/>
                    <w:adjustRightInd w:val="0"/>
                    <w:snapToGrid w:val="0"/>
                    <w:jc w:val="center"/>
                    <w:rPr>
                      <w:color w:val="auto"/>
                      <w:kern w:val="0"/>
                      <w:szCs w:val="21"/>
                    </w:rPr>
                  </w:pPr>
                  <w:r>
                    <w:rPr>
                      <w:color w:val="auto"/>
                      <w:kern w:val="0"/>
                      <w:szCs w:val="21"/>
                    </w:rPr>
                    <w:t>NO</w:t>
                  </w:r>
                  <w:r>
                    <w:rPr>
                      <w:color w:val="auto"/>
                      <w:kern w:val="0"/>
                      <w:szCs w:val="21"/>
                      <w:vertAlign w:val="subscript"/>
                    </w:rPr>
                    <w:t>X</w:t>
                  </w:r>
                </w:p>
              </w:tc>
              <w:tc>
                <w:tcPr>
                  <w:tcW w:w="1694" w:type="pct"/>
                  <w:vMerge w:val="continue"/>
                  <w:noWrap w:val="0"/>
                  <w:vAlign w:val="center"/>
                </w:tcPr>
                <w:p>
                  <w:pPr>
                    <w:widowControl/>
                    <w:adjustRightInd w:val="0"/>
                    <w:snapToGrid w:val="0"/>
                    <w:jc w:val="center"/>
                    <w:rPr>
                      <w:color w:val="auto"/>
                      <w:kern w:val="0"/>
                      <w:szCs w:val="21"/>
                    </w:rPr>
                  </w:pPr>
                </w:p>
              </w:tc>
              <w:tc>
                <w:tcPr>
                  <w:tcW w:w="783" w:type="pct"/>
                  <w:vMerge w:val="continue"/>
                  <w:noWrap w:val="0"/>
                  <w:vAlign w:val="center"/>
                </w:tcPr>
                <w:p>
                  <w:pPr>
                    <w:widowControl/>
                    <w:adjustRightInd w:val="0"/>
                    <w:snapToGrid w:val="0"/>
                    <w:jc w:val="center"/>
                    <w:rPr>
                      <w:color w:val="auto"/>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780" w:type="pct"/>
                  <w:vMerge w:val="continue"/>
                  <w:noWrap w:val="0"/>
                  <w:vAlign w:val="center"/>
                </w:tcPr>
                <w:p>
                  <w:pPr>
                    <w:widowControl/>
                    <w:adjustRightInd w:val="0"/>
                    <w:snapToGrid w:val="0"/>
                    <w:jc w:val="center"/>
                    <w:rPr>
                      <w:color w:val="auto"/>
                      <w:kern w:val="0"/>
                      <w:szCs w:val="21"/>
                    </w:rPr>
                  </w:pPr>
                </w:p>
              </w:tc>
              <w:tc>
                <w:tcPr>
                  <w:tcW w:w="1742" w:type="pct"/>
                  <w:noWrap w:val="0"/>
                  <w:vAlign w:val="center"/>
                </w:tcPr>
                <w:p>
                  <w:pPr>
                    <w:widowControl/>
                    <w:adjustRightInd w:val="0"/>
                    <w:snapToGrid w:val="0"/>
                    <w:jc w:val="center"/>
                    <w:rPr>
                      <w:color w:val="auto"/>
                      <w:kern w:val="0"/>
                      <w:szCs w:val="21"/>
                    </w:rPr>
                  </w:pPr>
                  <w:r>
                    <w:rPr>
                      <w:color w:val="auto"/>
                      <w:kern w:val="0"/>
                      <w:szCs w:val="21"/>
                    </w:rPr>
                    <w:t>林格曼黑度</w:t>
                  </w:r>
                </w:p>
              </w:tc>
              <w:tc>
                <w:tcPr>
                  <w:tcW w:w="1694" w:type="pct"/>
                  <w:vMerge w:val="continue"/>
                  <w:noWrap w:val="0"/>
                  <w:vAlign w:val="center"/>
                </w:tcPr>
                <w:p>
                  <w:pPr>
                    <w:widowControl/>
                    <w:adjustRightInd w:val="0"/>
                    <w:snapToGrid w:val="0"/>
                    <w:jc w:val="center"/>
                    <w:rPr>
                      <w:color w:val="auto"/>
                      <w:kern w:val="0"/>
                      <w:szCs w:val="21"/>
                    </w:rPr>
                  </w:pPr>
                </w:p>
              </w:tc>
              <w:tc>
                <w:tcPr>
                  <w:tcW w:w="783" w:type="pct"/>
                  <w:vMerge w:val="continue"/>
                  <w:noWrap w:val="0"/>
                  <w:vAlign w:val="center"/>
                </w:tcPr>
                <w:p>
                  <w:pPr>
                    <w:widowControl/>
                    <w:adjustRightInd w:val="0"/>
                    <w:snapToGrid w:val="0"/>
                    <w:jc w:val="center"/>
                    <w:rPr>
                      <w:color w:val="auto"/>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780" w:type="pct"/>
                  <w:vMerge w:val="continue"/>
                  <w:noWrap w:val="0"/>
                  <w:vAlign w:val="center"/>
                </w:tcPr>
                <w:p>
                  <w:pPr>
                    <w:widowControl/>
                    <w:adjustRightInd w:val="0"/>
                    <w:snapToGrid w:val="0"/>
                    <w:jc w:val="center"/>
                    <w:rPr>
                      <w:color w:val="auto"/>
                      <w:kern w:val="0"/>
                      <w:szCs w:val="21"/>
                    </w:rPr>
                  </w:pPr>
                </w:p>
              </w:tc>
              <w:tc>
                <w:tcPr>
                  <w:tcW w:w="1742" w:type="pct"/>
                  <w:noWrap w:val="0"/>
                  <w:vAlign w:val="center"/>
                </w:tcPr>
                <w:p>
                  <w:pPr>
                    <w:widowControl/>
                    <w:adjustRightInd w:val="0"/>
                    <w:snapToGrid w:val="0"/>
                    <w:jc w:val="center"/>
                    <w:rPr>
                      <w:color w:val="auto"/>
                      <w:kern w:val="0"/>
                      <w:szCs w:val="21"/>
                    </w:rPr>
                  </w:pPr>
                  <w:r>
                    <w:rPr>
                      <w:color w:val="auto"/>
                      <w:kern w:val="0"/>
                      <w:szCs w:val="21"/>
                    </w:rPr>
                    <w:t>颗粒物</w:t>
                  </w:r>
                </w:p>
              </w:tc>
              <w:tc>
                <w:tcPr>
                  <w:tcW w:w="1694" w:type="pct"/>
                  <w:noWrap w:val="0"/>
                  <w:vAlign w:val="center"/>
                </w:tcPr>
                <w:p>
                  <w:pPr>
                    <w:widowControl/>
                    <w:adjustRightInd w:val="0"/>
                    <w:snapToGrid w:val="0"/>
                    <w:jc w:val="center"/>
                    <w:rPr>
                      <w:color w:val="auto"/>
                      <w:kern w:val="0"/>
                      <w:szCs w:val="21"/>
                    </w:rPr>
                  </w:pPr>
                  <w:r>
                    <w:rPr>
                      <w:color w:val="auto"/>
                      <w:kern w:val="0"/>
                      <w:szCs w:val="21"/>
                    </w:rPr>
                    <w:t>厂界</w:t>
                  </w:r>
                </w:p>
              </w:tc>
              <w:tc>
                <w:tcPr>
                  <w:tcW w:w="783" w:type="pct"/>
                  <w:noWrap w:val="0"/>
                  <w:vAlign w:val="center"/>
                </w:tcPr>
                <w:p>
                  <w:pPr>
                    <w:widowControl/>
                    <w:adjustRightInd w:val="0"/>
                    <w:snapToGrid w:val="0"/>
                    <w:jc w:val="center"/>
                    <w:rPr>
                      <w:color w:val="auto"/>
                      <w:kern w:val="0"/>
                      <w:szCs w:val="21"/>
                    </w:rPr>
                  </w:pPr>
                  <w:r>
                    <w:rPr>
                      <w:color w:val="auto"/>
                      <w:kern w:val="0"/>
                      <w:szCs w:val="21"/>
                    </w:rPr>
                    <w:t>1</w:t>
                  </w:r>
                  <w:r>
                    <w:rPr>
                      <w:color w:val="auto"/>
                      <w:kern w:val="0"/>
                      <w:szCs w:val="21"/>
                      <w:lang w:val="zh-CN"/>
                    </w:rPr>
                    <w:t>次</w:t>
                  </w:r>
                  <w:r>
                    <w:rPr>
                      <w:color w:val="auto"/>
                      <w:kern w:val="0"/>
                      <w:szCs w:val="21"/>
                    </w:rPr>
                    <w:t>/</w:t>
                  </w:r>
                  <w:r>
                    <w:rPr>
                      <w:color w:val="auto"/>
                      <w:kern w:val="0"/>
                      <w:szCs w:val="21"/>
                      <w:lang w:val="zh-CN"/>
                    </w:rPr>
                    <w:t>季度</w:t>
                  </w:r>
                </w:p>
              </w:tc>
            </w:tr>
          </w:tbl>
          <w:p>
            <w:pPr>
              <w:spacing w:line="360" w:lineRule="auto"/>
              <w:ind w:firstLine="482" w:firstLineChars="200"/>
              <w:contextualSpacing/>
              <w:rPr>
                <w:b/>
                <w:bCs/>
                <w:color w:val="auto"/>
                <w:sz w:val="24"/>
              </w:rPr>
            </w:pPr>
            <w:r>
              <w:rPr>
                <w:b/>
                <w:bCs/>
                <w:color w:val="auto"/>
                <w:sz w:val="24"/>
              </w:rPr>
              <w:t>（二）废水</w:t>
            </w:r>
          </w:p>
          <w:p>
            <w:pPr>
              <w:spacing w:line="360" w:lineRule="auto"/>
              <w:ind w:firstLine="482" w:firstLineChars="200"/>
              <w:contextualSpacing/>
              <w:jc w:val="left"/>
              <w:rPr>
                <w:rFonts w:hint="eastAsia"/>
                <w:b/>
                <w:bCs/>
                <w:color w:val="auto"/>
                <w:sz w:val="24"/>
              </w:rPr>
            </w:pPr>
            <w:r>
              <w:rPr>
                <w:b/>
                <w:bCs/>
                <w:color w:val="auto"/>
                <w:sz w:val="24"/>
              </w:rPr>
              <w:t>1、废水源强</w:t>
            </w:r>
          </w:p>
          <w:p>
            <w:pPr>
              <w:contextualSpacing/>
              <w:jc w:val="center"/>
              <w:rPr>
                <w:rFonts w:hint="eastAsia"/>
                <w:b/>
                <w:color w:val="auto"/>
                <w:sz w:val="24"/>
              </w:rPr>
            </w:pPr>
            <w:r>
              <w:rPr>
                <w:b/>
                <w:color w:val="auto"/>
                <w:sz w:val="24"/>
              </w:rPr>
              <w:t>表4-5 废水污染源源强核算结果及相关参数一览表</w:t>
            </w:r>
          </w:p>
          <w:tbl>
            <w:tblPr>
              <w:tblStyle w:val="15"/>
              <w:tblW w:w="483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08"/>
              <w:gridCol w:w="852"/>
              <w:gridCol w:w="931"/>
              <w:gridCol w:w="782"/>
              <w:gridCol w:w="504"/>
              <w:gridCol w:w="478"/>
              <w:gridCol w:w="957"/>
              <w:gridCol w:w="1021"/>
              <w:gridCol w:w="8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0" w:type="pct"/>
                  <w:vMerge w:val="restart"/>
                  <w:noWrap w:val="0"/>
                  <w:vAlign w:val="center"/>
                </w:tcPr>
                <w:p>
                  <w:pPr>
                    <w:jc w:val="center"/>
                    <w:rPr>
                      <w:color w:val="auto"/>
                      <w:szCs w:val="21"/>
                    </w:rPr>
                  </w:pPr>
                  <w:r>
                    <w:rPr>
                      <w:color w:val="auto"/>
                      <w:szCs w:val="21"/>
                    </w:rPr>
                    <w:t>产污环节</w:t>
                  </w:r>
                </w:p>
              </w:tc>
              <w:tc>
                <w:tcPr>
                  <w:tcW w:w="462" w:type="pct"/>
                  <w:vMerge w:val="restart"/>
                  <w:noWrap w:val="0"/>
                  <w:vAlign w:val="center"/>
                </w:tcPr>
                <w:p>
                  <w:pPr>
                    <w:jc w:val="center"/>
                    <w:rPr>
                      <w:color w:val="auto"/>
                      <w:szCs w:val="21"/>
                    </w:rPr>
                  </w:pPr>
                  <w:r>
                    <w:rPr>
                      <w:color w:val="auto"/>
                      <w:szCs w:val="21"/>
                    </w:rPr>
                    <w:t>类别</w:t>
                  </w:r>
                </w:p>
              </w:tc>
              <w:tc>
                <w:tcPr>
                  <w:tcW w:w="556" w:type="pct"/>
                  <w:vMerge w:val="restart"/>
                  <w:noWrap w:val="0"/>
                  <w:vAlign w:val="center"/>
                </w:tcPr>
                <w:p>
                  <w:pPr>
                    <w:autoSpaceDE w:val="0"/>
                    <w:autoSpaceDN w:val="0"/>
                    <w:jc w:val="center"/>
                    <w:rPr>
                      <w:color w:val="auto"/>
                      <w:szCs w:val="21"/>
                    </w:rPr>
                  </w:pPr>
                  <w:r>
                    <w:rPr>
                      <w:color w:val="auto"/>
                      <w:szCs w:val="21"/>
                    </w:rPr>
                    <w:t>污染物</w:t>
                  </w:r>
                </w:p>
              </w:tc>
              <w:tc>
                <w:tcPr>
                  <w:tcW w:w="1117" w:type="pct"/>
                  <w:gridSpan w:val="2"/>
                  <w:tcBorders>
                    <w:left w:val="single" w:color="000000" w:sz="4" w:space="0"/>
                  </w:tcBorders>
                  <w:noWrap w:val="0"/>
                  <w:vAlign w:val="center"/>
                </w:tcPr>
                <w:p>
                  <w:pPr>
                    <w:autoSpaceDE w:val="0"/>
                    <w:autoSpaceDN w:val="0"/>
                    <w:jc w:val="center"/>
                    <w:rPr>
                      <w:color w:val="auto"/>
                      <w:szCs w:val="21"/>
                    </w:rPr>
                  </w:pPr>
                  <w:r>
                    <w:rPr>
                      <w:color w:val="auto"/>
                      <w:szCs w:val="21"/>
                    </w:rPr>
                    <w:t>污染物产生</w:t>
                  </w:r>
                </w:p>
              </w:tc>
              <w:tc>
                <w:tcPr>
                  <w:tcW w:w="641" w:type="pct"/>
                  <w:gridSpan w:val="2"/>
                  <w:noWrap w:val="0"/>
                  <w:vAlign w:val="center"/>
                </w:tcPr>
                <w:p>
                  <w:pPr>
                    <w:autoSpaceDE w:val="0"/>
                    <w:autoSpaceDN w:val="0"/>
                    <w:jc w:val="center"/>
                    <w:rPr>
                      <w:color w:val="auto"/>
                      <w:szCs w:val="21"/>
                    </w:rPr>
                  </w:pPr>
                  <w:r>
                    <w:rPr>
                      <w:color w:val="auto"/>
                      <w:szCs w:val="21"/>
                    </w:rPr>
                    <w:t>治理</w:t>
                  </w:r>
                </w:p>
                <w:p>
                  <w:pPr>
                    <w:autoSpaceDE w:val="0"/>
                    <w:autoSpaceDN w:val="0"/>
                    <w:jc w:val="center"/>
                    <w:rPr>
                      <w:color w:val="auto"/>
                      <w:szCs w:val="21"/>
                    </w:rPr>
                  </w:pPr>
                  <w:r>
                    <w:rPr>
                      <w:color w:val="auto"/>
                      <w:szCs w:val="21"/>
                    </w:rPr>
                    <w:t>措施</w:t>
                  </w:r>
                </w:p>
              </w:tc>
              <w:tc>
                <w:tcPr>
                  <w:tcW w:w="1855" w:type="pct"/>
                  <w:gridSpan w:val="3"/>
                  <w:tcBorders>
                    <w:left w:val="single" w:color="000000" w:sz="4" w:space="0"/>
                  </w:tcBorders>
                  <w:noWrap w:val="0"/>
                  <w:vAlign w:val="center"/>
                </w:tcPr>
                <w:p>
                  <w:pPr>
                    <w:autoSpaceDE w:val="0"/>
                    <w:autoSpaceDN w:val="0"/>
                    <w:jc w:val="center"/>
                    <w:rPr>
                      <w:color w:val="auto"/>
                      <w:szCs w:val="21"/>
                    </w:rPr>
                  </w:pPr>
                  <w:r>
                    <w:rPr>
                      <w:color w:val="auto"/>
                      <w:szCs w:val="21"/>
                    </w:rPr>
                    <w:t>污染物排放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0" w:type="pct"/>
                  <w:vMerge w:val="continue"/>
                  <w:noWrap w:val="0"/>
                  <w:vAlign w:val="center"/>
                </w:tcPr>
                <w:p>
                  <w:pPr>
                    <w:widowControl/>
                    <w:jc w:val="center"/>
                    <w:rPr>
                      <w:color w:val="auto"/>
                      <w:szCs w:val="21"/>
                    </w:rPr>
                  </w:pPr>
                </w:p>
              </w:tc>
              <w:tc>
                <w:tcPr>
                  <w:tcW w:w="462" w:type="pct"/>
                  <w:vMerge w:val="continue"/>
                  <w:noWrap w:val="0"/>
                  <w:vAlign w:val="center"/>
                </w:tcPr>
                <w:p>
                  <w:pPr>
                    <w:widowControl/>
                    <w:jc w:val="center"/>
                    <w:rPr>
                      <w:color w:val="auto"/>
                      <w:szCs w:val="21"/>
                    </w:rPr>
                  </w:pPr>
                </w:p>
              </w:tc>
              <w:tc>
                <w:tcPr>
                  <w:tcW w:w="556" w:type="pct"/>
                  <w:vMerge w:val="continue"/>
                  <w:noWrap w:val="0"/>
                  <w:vAlign w:val="center"/>
                </w:tcPr>
                <w:p>
                  <w:pPr>
                    <w:widowControl/>
                    <w:jc w:val="center"/>
                    <w:rPr>
                      <w:color w:val="auto"/>
                      <w:szCs w:val="21"/>
                    </w:rPr>
                  </w:pPr>
                </w:p>
              </w:tc>
              <w:tc>
                <w:tcPr>
                  <w:tcW w:w="607" w:type="pct"/>
                  <w:tcBorders>
                    <w:left w:val="single" w:color="000000" w:sz="4" w:space="0"/>
                  </w:tcBorders>
                  <w:noWrap w:val="0"/>
                  <w:vAlign w:val="center"/>
                </w:tcPr>
                <w:p>
                  <w:pPr>
                    <w:pStyle w:val="37"/>
                    <w:spacing w:line="240" w:lineRule="auto"/>
                    <w:rPr>
                      <w:rFonts w:ascii="Times New Roman" w:hAnsi="Times New Roman" w:eastAsia="宋体"/>
                      <w:color w:val="auto"/>
                      <w:sz w:val="21"/>
                      <w:szCs w:val="21"/>
                    </w:rPr>
                  </w:pPr>
                  <w:r>
                    <w:rPr>
                      <w:rFonts w:ascii="Times New Roman" w:hAnsi="Times New Roman" w:eastAsia="宋体"/>
                      <w:color w:val="auto"/>
                      <w:sz w:val="21"/>
                      <w:szCs w:val="21"/>
                    </w:rPr>
                    <w:t>产生浓度mg/L</w:t>
                  </w:r>
                </w:p>
              </w:tc>
              <w:tc>
                <w:tcPr>
                  <w:tcW w:w="510" w:type="pct"/>
                  <w:noWrap w:val="0"/>
                  <w:vAlign w:val="center"/>
                </w:tcPr>
                <w:p>
                  <w:pPr>
                    <w:pStyle w:val="37"/>
                    <w:spacing w:line="240" w:lineRule="auto"/>
                    <w:rPr>
                      <w:rFonts w:ascii="Times New Roman" w:hAnsi="Times New Roman" w:eastAsia="宋体"/>
                      <w:color w:val="auto"/>
                      <w:sz w:val="21"/>
                      <w:szCs w:val="21"/>
                    </w:rPr>
                  </w:pPr>
                  <w:r>
                    <w:rPr>
                      <w:rFonts w:ascii="Times New Roman" w:hAnsi="Times New Roman" w:eastAsia="宋体"/>
                      <w:color w:val="auto"/>
                      <w:sz w:val="21"/>
                      <w:szCs w:val="21"/>
                    </w:rPr>
                    <w:t>产生量t/a</w:t>
                  </w:r>
                </w:p>
              </w:tc>
              <w:tc>
                <w:tcPr>
                  <w:tcW w:w="329" w:type="pct"/>
                  <w:noWrap w:val="0"/>
                  <w:vAlign w:val="center"/>
                </w:tcPr>
                <w:p>
                  <w:pPr>
                    <w:autoSpaceDE w:val="0"/>
                    <w:autoSpaceDN w:val="0"/>
                    <w:jc w:val="center"/>
                    <w:rPr>
                      <w:color w:val="auto"/>
                      <w:szCs w:val="21"/>
                    </w:rPr>
                  </w:pPr>
                  <w:r>
                    <w:rPr>
                      <w:color w:val="auto"/>
                      <w:szCs w:val="21"/>
                    </w:rPr>
                    <w:t>工艺</w:t>
                  </w:r>
                </w:p>
              </w:tc>
              <w:tc>
                <w:tcPr>
                  <w:tcW w:w="312" w:type="pct"/>
                  <w:noWrap w:val="0"/>
                  <w:vAlign w:val="center"/>
                </w:tcPr>
                <w:p>
                  <w:pPr>
                    <w:autoSpaceDE w:val="0"/>
                    <w:autoSpaceDN w:val="0"/>
                    <w:jc w:val="center"/>
                    <w:rPr>
                      <w:color w:val="auto"/>
                      <w:szCs w:val="21"/>
                    </w:rPr>
                  </w:pPr>
                  <w:r>
                    <w:rPr>
                      <w:color w:val="auto"/>
                      <w:szCs w:val="21"/>
                    </w:rPr>
                    <w:t>效率</w:t>
                  </w:r>
                </w:p>
              </w:tc>
              <w:tc>
                <w:tcPr>
                  <w:tcW w:w="624" w:type="pct"/>
                  <w:tcBorders>
                    <w:left w:val="single" w:color="000000" w:sz="4" w:space="0"/>
                  </w:tcBorders>
                  <w:noWrap w:val="0"/>
                  <w:vAlign w:val="center"/>
                </w:tcPr>
                <w:p>
                  <w:pPr>
                    <w:pStyle w:val="37"/>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废水排放量t/a</w:t>
                  </w:r>
                </w:p>
              </w:tc>
              <w:tc>
                <w:tcPr>
                  <w:tcW w:w="666" w:type="pct"/>
                  <w:noWrap w:val="0"/>
                  <w:vAlign w:val="center"/>
                </w:tcPr>
                <w:p>
                  <w:pPr>
                    <w:pStyle w:val="37"/>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排放浓度mg/L</w:t>
                  </w:r>
                </w:p>
              </w:tc>
              <w:tc>
                <w:tcPr>
                  <w:tcW w:w="564" w:type="pct"/>
                  <w:noWrap w:val="0"/>
                  <w:vAlign w:val="center"/>
                </w:tcPr>
                <w:p>
                  <w:pPr>
                    <w:pStyle w:val="37"/>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0" w:type="pct"/>
                  <w:vMerge w:val="restart"/>
                  <w:noWrap w:val="0"/>
                  <w:vAlign w:val="center"/>
                </w:tcPr>
                <w:p>
                  <w:pPr>
                    <w:autoSpaceDE w:val="0"/>
                    <w:autoSpaceDN w:val="0"/>
                    <w:jc w:val="center"/>
                    <w:rPr>
                      <w:color w:val="auto"/>
                      <w:szCs w:val="21"/>
                    </w:rPr>
                  </w:pPr>
                  <w:r>
                    <w:rPr>
                      <w:rFonts w:hint="eastAsia"/>
                      <w:color w:val="auto"/>
                      <w:szCs w:val="21"/>
                    </w:rPr>
                    <w:t>员工</w:t>
                  </w:r>
                  <w:r>
                    <w:rPr>
                      <w:color w:val="auto"/>
                      <w:szCs w:val="21"/>
                    </w:rPr>
                    <w:t>生活</w:t>
                  </w:r>
                </w:p>
              </w:tc>
              <w:tc>
                <w:tcPr>
                  <w:tcW w:w="462" w:type="pct"/>
                  <w:vMerge w:val="restart"/>
                  <w:noWrap w:val="0"/>
                  <w:vAlign w:val="center"/>
                </w:tcPr>
                <w:p>
                  <w:pPr>
                    <w:autoSpaceDE w:val="0"/>
                    <w:autoSpaceDN w:val="0"/>
                    <w:jc w:val="center"/>
                    <w:rPr>
                      <w:color w:val="auto"/>
                      <w:szCs w:val="21"/>
                    </w:rPr>
                  </w:pPr>
                  <w:r>
                    <w:rPr>
                      <w:rFonts w:hint="eastAsia"/>
                      <w:color w:val="auto"/>
                      <w:szCs w:val="21"/>
                    </w:rPr>
                    <w:t>生活</w:t>
                  </w:r>
                </w:p>
                <w:p>
                  <w:pPr>
                    <w:autoSpaceDE w:val="0"/>
                    <w:autoSpaceDN w:val="0"/>
                    <w:jc w:val="center"/>
                    <w:rPr>
                      <w:color w:val="auto"/>
                      <w:szCs w:val="21"/>
                    </w:rPr>
                  </w:pPr>
                  <w:r>
                    <w:rPr>
                      <w:color w:val="auto"/>
                      <w:szCs w:val="21"/>
                    </w:rPr>
                    <w:t>污水</w:t>
                  </w:r>
                </w:p>
              </w:tc>
              <w:tc>
                <w:tcPr>
                  <w:tcW w:w="556" w:type="pct"/>
                  <w:noWrap w:val="0"/>
                  <w:vAlign w:val="center"/>
                </w:tcPr>
                <w:p>
                  <w:pPr>
                    <w:jc w:val="center"/>
                    <w:rPr>
                      <w:color w:val="auto"/>
                      <w:szCs w:val="21"/>
                    </w:rPr>
                  </w:pPr>
                  <w:r>
                    <w:rPr>
                      <w:color w:val="auto"/>
                      <w:szCs w:val="21"/>
                    </w:rPr>
                    <w:t>COD</w:t>
                  </w:r>
                </w:p>
              </w:tc>
              <w:tc>
                <w:tcPr>
                  <w:tcW w:w="607" w:type="pct"/>
                  <w:noWrap w:val="0"/>
                  <w:vAlign w:val="center"/>
                </w:tcPr>
                <w:p>
                  <w:pPr>
                    <w:widowControl/>
                    <w:jc w:val="center"/>
                    <w:textAlignment w:val="center"/>
                    <w:rPr>
                      <w:color w:val="auto"/>
                      <w:szCs w:val="21"/>
                    </w:rPr>
                  </w:pPr>
                  <w:r>
                    <w:rPr>
                      <w:rFonts w:hint="eastAsia"/>
                      <w:color w:val="auto"/>
                      <w:kern w:val="0"/>
                      <w:szCs w:val="21"/>
                      <w:lang w:bidi="ar"/>
                    </w:rPr>
                    <w:t>350</w:t>
                  </w:r>
                </w:p>
              </w:tc>
              <w:tc>
                <w:tcPr>
                  <w:tcW w:w="510" w:type="pct"/>
                  <w:noWrap w:val="0"/>
                  <w:vAlign w:val="center"/>
                </w:tcPr>
                <w:p>
                  <w:pPr>
                    <w:widowControl/>
                    <w:jc w:val="center"/>
                    <w:textAlignment w:val="center"/>
                    <w:rPr>
                      <w:color w:val="auto"/>
                      <w:szCs w:val="21"/>
                    </w:rPr>
                  </w:pPr>
                  <w:r>
                    <w:rPr>
                      <w:rFonts w:hint="eastAsia"/>
                      <w:color w:val="auto"/>
                      <w:szCs w:val="21"/>
                    </w:rPr>
                    <w:t>0.006</w:t>
                  </w:r>
                </w:p>
              </w:tc>
              <w:tc>
                <w:tcPr>
                  <w:tcW w:w="329" w:type="pct"/>
                  <w:vMerge w:val="restart"/>
                  <w:noWrap w:val="0"/>
                  <w:vAlign w:val="center"/>
                </w:tcPr>
                <w:p>
                  <w:pPr>
                    <w:autoSpaceDE w:val="0"/>
                    <w:autoSpaceDN w:val="0"/>
                    <w:jc w:val="center"/>
                    <w:rPr>
                      <w:color w:val="auto"/>
                      <w:szCs w:val="21"/>
                    </w:rPr>
                  </w:pPr>
                  <w:r>
                    <w:rPr>
                      <w:bCs/>
                      <w:color w:val="auto"/>
                      <w:szCs w:val="21"/>
                    </w:rPr>
                    <w:t>/</w:t>
                  </w:r>
                </w:p>
              </w:tc>
              <w:tc>
                <w:tcPr>
                  <w:tcW w:w="312" w:type="pct"/>
                  <w:vMerge w:val="restart"/>
                  <w:noWrap w:val="0"/>
                  <w:vAlign w:val="center"/>
                </w:tcPr>
                <w:p>
                  <w:pPr>
                    <w:widowControl/>
                    <w:jc w:val="center"/>
                    <w:rPr>
                      <w:bCs/>
                      <w:color w:val="auto"/>
                      <w:szCs w:val="21"/>
                    </w:rPr>
                  </w:pPr>
                  <w:r>
                    <w:rPr>
                      <w:rFonts w:hint="eastAsia"/>
                      <w:bCs/>
                      <w:color w:val="auto"/>
                      <w:szCs w:val="21"/>
                    </w:rPr>
                    <w:t>/</w:t>
                  </w:r>
                </w:p>
              </w:tc>
              <w:tc>
                <w:tcPr>
                  <w:tcW w:w="624" w:type="pct"/>
                  <w:vMerge w:val="restart"/>
                  <w:noWrap w:val="0"/>
                  <w:vAlign w:val="center"/>
                </w:tcPr>
                <w:p>
                  <w:pPr>
                    <w:autoSpaceDE w:val="0"/>
                    <w:autoSpaceDN w:val="0"/>
                    <w:jc w:val="center"/>
                    <w:rPr>
                      <w:color w:val="auto"/>
                      <w:szCs w:val="21"/>
                    </w:rPr>
                  </w:pPr>
                  <w:r>
                    <w:rPr>
                      <w:rFonts w:hint="eastAsia"/>
                      <w:color w:val="auto"/>
                      <w:szCs w:val="21"/>
                    </w:rPr>
                    <w:t>0</w:t>
                  </w:r>
                </w:p>
              </w:tc>
              <w:tc>
                <w:tcPr>
                  <w:tcW w:w="666" w:type="pct"/>
                  <w:noWrap w:val="0"/>
                  <w:vAlign w:val="center"/>
                </w:tcPr>
                <w:p>
                  <w:pPr>
                    <w:widowControl/>
                    <w:jc w:val="center"/>
                    <w:textAlignment w:val="center"/>
                    <w:rPr>
                      <w:color w:val="auto"/>
                      <w:szCs w:val="21"/>
                    </w:rPr>
                  </w:pPr>
                  <w:r>
                    <w:rPr>
                      <w:rFonts w:hint="eastAsia"/>
                      <w:color w:val="auto"/>
                      <w:szCs w:val="21"/>
                    </w:rPr>
                    <w:t>/</w:t>
                  </w:r>
                </w:p>
              </w:tc>
              <w:tc>
                <w:tcPr>
                  <w:tcW w:w="564" w:type="pct"/>
                  <w:noWrap w:val="0"/>
                  <w:vAlign w:val="center"/>
                </w:tcPr>
                <w:p>
                  <w:pPr>
                    <w:widowControl/>
                    <w:jc w:val="center"/>
                    <w:textAlignment w:val="center"/>
                    <w:rPr>
                      <w:color w:val="auto"/>
                      <w:szCs w:val="21"/>
                    </w:rPr>
                  </w:pPr>
                  <w:r>
                    <w:rPr>
                      <w:rFonts w:hint="eastAsia"/>
                      <w:color w:val="auto"/>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0" w:type="pct"/>
                  <w:vMerge w:val="continue"/>
                  <w:noWrap w:val="0"/>
                  <w:vAlign w:val="center"/>
                </w:tcPr>
                <w:p>
                  <w:pPr>
                    <w:widowControl/>
                    <w:jc w:val="center"/>
                    <w:rPr>
                      <w:color w:val="auto"/>
                      <w:szCs w:val="21"/>
                    </w:rPr>
                  </w:pPr>
                </w:p>
              </w:tc>
              <w:tc>
                <w:tcPr>
                  <w:tcW w:w="462" w:type="pct"/>
                  <w:vMerge w:val="continue"/>
                  <w:noWrap w:val="0"/>
                  <w:vAlign w:val="center"/>
                </w:tcPr>
                <w:p>
                  <w:pPr>
                    <w:widowControl/>
                    <w:jc w:val="center"/>
                    <w:rPr>
                      <w:color w:val="auto"/>
                      <w:szCs w:val="21"/>
                    </w:rPr>
                  </w:pPr>
                </w:p>
              </w:tc>
              <w:tc>
                <w:tcPr>
                  <w:tcW w:w="556" w:type="pct"/>
                  <w:noWrap w:val="0"/>
                  <w:vAlign w:val="center"/>
                </w:tcPr>
                <w:p>
                  <w:pPr>
                    <w:jc w:val="center"/>
                    <w:rPr>
                      <w:color w:val="auto"/>
                      <w:szCs w:val="21"/>
                    </w:rPr>
                  </w:pPr>
                  <w:r>
                    <w:rPr>
                      <w:color w:val="auto"/>
                      <w:szCs w:val="21"/>
                    </w:rPr>
                    <w:t>氨氮</w:t>
                  </w:r>
                </w:p>
              </w:tc>
              <w:tc>
                <w:tcPr>
                  <w:tcW w:w="607" w:type="pct"/>
                  <w:noWrap w:val="0"/>
                  <w:vAlign w:val="center"/>
                </w:tcPr>
                <w:p>
                  <w:pPr>
                    <w:widowControl/>
                    <w:jc w:val="center"/>
                    <w:textAlignment w:val="center"/>
                    <w:rPr>
                      <w:color w:val="auto"/>
                      <w:szCs w:val="21"/>
                    </w:rPr>
                  </w:pPr>
                  <w:r>
                    <w:rPr>
                      <w:rFonts w:hint="eastAsia"/>
                      <w:color w:val="auto"/>
                      <w:kern w:val="0"/>
                      <w:szCs w:val="21"/>
                      <w:lang w:bidi="ar"/>
                    </w:rPr>
                    <w:t>35</w:t>
                  </w:r>
                </w:p>
              </w:tc>
              <w:tc>
                <w:tcPr>
                  <w:tcW w:w="510" w:type="pct"/>
                  <w:noWrap w:val="0"/>
                  <w:vAlign w:val="center"/>
                </w:tcPr>
                <w:p>
                  <w:pPr>
                    <w:widowControl/>
                    <w:jc w:val="center"/>
                    <w:textAlignment w:val="center"/>
                    <w:rPr>
                      <w:color w:val="auto"/>
                      <w:szCs w:val="21"/>
                    </w:rPr>
                  </w:pPr>
                  <w:r>
                    <w:rPr>
                      <w:rFonts w:hint="eastAsia"/>
                      <w:color w:val="auto"/>
                      <w:szCs w:val="21"/>
                    </w:rPr>
                    <w:t>0.001</w:t>
                  </w:r>
                </w:p>
              </w:tc>
              <w:tc>
                <w:tcPr>
                  <w:tcW w:w="329" w:type="pct"/>
                  <w:vMerge w:val="continue"/>
                  <w:noWrap w:val="0"/>
                  <w:vAlign w:val="center"/>
                </w:tcPr>
                <w:p>
                  <w:pPr>
                    <w:widowControl/>
                    <w:jc w:val="center"/>
                    <w:rPr>
                      <w:color w:val="auto"/>
                      <w:szCs w:val="21"/>
                    </w:rPr>
                  </w:pPr>
                </w:p>
              </w:tc>
              <w:tc>
                <w:tcPr>
                  <w:tcW w:w="312" w:type="pct"/>
                  <w:vMerge w:val="continue"/>
                  <w:noWrap w:val="0"/>
                  <w:vAlign w:val="center"/>
                </w:tcPr>
                <w:p>
                  <w:pPr>
                    <w:widowControl/>
                    <w:jc w:val="center"/>
                    <w:rPr>
                      <w:bCs/>
                      <w:color w:val="auto"/>
                      <w:szCs w:val="21"/>
                    </w:rPr>
                  </w:pPr>
                </w:p>
              </w:tc>
              <w:tc>
                <w:tcPr>
                  <w:tcW w:w="624" w:type="pct"/>
                  <w:vMerge w:val="continue"/>
                  <w:noWrap w:val="0"/>
                  <w:vAlign w:val="center"/>
                </w:tcPr>
                <w:p>
                  <w:pPr>
                    <w:widowControl/>
                    <w:jc w:val="center"/>
                    <w:rPr>
                      <w:color w:val="auto"/>
                      <w:szCs w:val="21"/>
                    </w:rPr>
                  </w:pPr>
                </w:p>
              </w:tc>
              <w:tc>
                <w:tcPr>
                  <w:tcW w:w="666" w:type="pct"/>
                  <w:noWrap w:val="0"/>
                  <w:vAlign w:val="center"/>
                </w:tcPr>
                <w:p>
                  <w:pPr>
                    <w:widowControl/>
                    <w:jc w:val="center"/>
                    <w:textAlignment w:val="center"/>
                    <w:rPr>
                      <w:color w:val="auto"/>
                      <w:szCs w:val="21"/>
                    </w:rPr>
                  </w:pPr>
                  <w:r>
                    <w:rPr>
                      <w:rFonts w:hint="eastAsia"/>
                      <w:color w:val="auto"/>
                      <w:szCs w:val="21"/>
                    </w:rPr>
                    <w:t>/</w:t>
                  </w:r>
                </w:p>
              </w:tc>
              <w:tc>
                <w:tcPr>
                  <w:tcW w:w="564" w:type="pct"/>
                  <w:noWrap w:val="0"/>
                  <w:vAlign w:val="center"/>
                </w:tcPr>
                <w:p>
                  <w:pPr>
                    <w:widowControl/>
                    <w:jc w:val="center"/>
                    <w:textAlignment w:val="center"/>
                    <w:rPr>
                      <w:color w:val="auto"/>
                      <w:szCs w:val="21"/>
                    </w:rPr>
                  </w:pPr>
                  <w:r>
                    <w:rPr>
                      <w:rFonts w:hint="eastAsia"/>
                      <w:color w:val="auto"/>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0" w:type="pct"/>
                  <w:vMerge w:val="continue"/>
                  <w:noWrap w:val="0"/>
                  <w:vAlign w:val="center"/>
                </w:tcPr>
                <w:p>
                  <w:pPr>
                    <w:widowControl/>
                    <w:jc w:val="center"/>
                    <w:rPr>
                      <w:color w:val="auto"/>
                      <w:szCs w:val="21"/>
                    </w:rPr>
                  </w:pPr>
                </w:p>
              </w:tc>
              <w:tc>
                <w:tcPr>
                  <w:tcW w:w="462" w:type="pct"/>
                  <w:vMerge w:val="continue"/>
                  <w:noWrap w:val="0"/>
                  <w:vAlign w:val="center"/>
                </w:tcPr>
                <w:p>
                  <w:pPr>
                    <w:widowControl/>
                    <w:jc w:val="center"/>
                    <w:rPr>
                      <w:color w:val="auto"/>
                      <w:szCs w:val="21"/>
                    </w:rPr>
                  </w:pPr>
                </w:p>
              </w:tc>
              <w:tc>
                <w:tcPr>
                  <w:tcW w:w="556" w:type="pct"/>
                  <w:noWrap w:val="0"/>
                  <w:vAlign w:val="center"/>
                </w:tcPr>
                <w:p>
                  <w:pPr>
                    <w:jc w:val="center"/>
                    <w:rPr>
                      <w:color w:val="auto"/>
                      <w:szCs w:val="21"/>
                    </w:rPr>
                  </w:pPr>
                  <w:r>
                    <w:rPr>
                      <w:color w:val="auto"/>
                      <w:szCs w:val="21"/>
                    </w:rPr>
                    <w:t>SS</w:t>
                  </w:r>
                </w:p>
              </w:tc>
              <w:tc>
                <w:tcPr>
                  <w:tcW w:w="607" w:type="pct"/>
                  <w:noWrap w:val="0"/>
                  <w:vAlign w:val="center"/>
                </w:tcPr>
                <w:p>
                  <w:pPr>
                    <w:widowControl/>
                    <w:jc w:val="center"/>
                    <w:textAlignment w:val="center"/>
                    <w:rPr>
                      <w:color w:val="auto"/>
                      <w:szCs w:val="21"/>
                    </w:rPr>
                  </w:pPr>
                  <w:r>
                    <w:rPr>
                      <w:rFonts w:hint="eastAsia"/>
                      <w:color w:val="auto"/>
                      <w:kern w:val="0"/>
                      <w:szCs w:val="21"/>
                      <w:lang w:bidi="ar"/>
                    </w:rPr>
                    <w:t>220</w:t>
                  </w:r>
                </w:p>
              </w:tc>
              <w:tc>
                <w:tcPr>
                  <w:tcW w:w="510" w:type="pct"/>
                  <w:noWrap w:val="0"/>
                  <w:vAlign w:val="center"/>
                </w:tcPr>
                <w:p>
                  <w:pPr>
                    <w:widowControl/>
                    <w:jc w:val="center"/>
                    <w:textAlignment w:val="center"/>
                    <w:rPr>
                      <w:color w:val="auto"/>
                      <w:szCs w:val="21"/>
                    </w:rPr>
                  </w:pPr>
                  <w:r>
                    <w:rPr>
                      <w:rFonts w:hint="eastAsia"/>
                      <w:color w:val="auto"/>
                      <w:szCs w:val="21"/>
                    </w:rPr>
                    <w:t>0.004</w:t>
                  </w:r>
                </w:p>
              </w:tc>
              <w:tc>
                <w:tcPr>
                  <w:tcW w:w="329" w:type="pct"/>
                  <w:vMerge w:val="continue"/>
                  <w:noWrap w:val="0"/>
                  <w:vAlign w:val="center"/>
                </w:tcPr>
                <w:p>
                  <w:pPr>
                    <w:widowControl/>
                    <w:jc w:val="center"/>
                    <w:rPr>
                      <w:color w:val="auto"/>
                      <w:szCs w:val="21"/>
                    </w:rPr>
                  </w:pPr>
                </w:p>
              </w:tc>
              <w:tc>
                <w:tcPr>
                  <w:tcW w:w="312" w:type="pct"/>
                  <w:vMerge w:val="continue"/>
                  <w:noWrap w:val="0"/>
                  <w:vAlign w:val="center"/>
                </w:tcPr>
                <w:p>
                  <w:pPr>
                    <w:widowControl/>
                    <w:jc w:val="center"/>
                    <w:rPr>
                      <w:bCs/>
                      <w:color w:val="auto"/>
                      <w:szCs w:val="21"/>
                    </w:rPr>
                  </w:pPr>
                </w:p>
              </w:tc>
              <w:tc>
                <w:tcPr>
                  <w:tcW w:w="624" w:type="pct"/>
                  <w:vMerge w:val="continue"/>
                  <w:noWrap w:val="0"/>
                  <w:vAlign w:val="center"/>
                </w:tcPr>
                <w:p>
                  <w:pPr>
                    <w:widowControl/>
                    <w:jc w:val="center"/>
                    <w:rPr>
                      <w:color w:val="auto"/>
                      <w:szCs w:val="21"/>
                    </w:rPr>
                  </w:pPr>
                </w:p>
              </w:tc>
              <w:tc>
                <w:tcPr>
                  <w:tcW w:w="666" w:type="pct"/>
                  <w:noWrap w:val="0"/>
                  <w:vAlign w:val="center"/>
                </w:tcPr>
                <w:p>
                  <w:pPr>
                    <w:widowControl/>
                    <w:jc w:val="center"/>
                    <w:textAlignment w:val="center"/>
                    <w:rPr>
                      <w:color w:val="auto"/>
                      <w:szCs w:val="21"/>
                    </w:rPr>
                  </w:pPr>
                  <w:r>
                    <w:rPr>
                      <w:rFonts w:hint="eastAsia"/>
                      <w:color w:val="auto"/>
                      <w:szCs w:val="21"/>
                    </w:rPr>
                    <w:t>/</w:t>
                  </w:r>
                </w:p>
              </w:tc>
              <w:tc>
                <w:tcPr>
                  <w:tcW w:w="564" w:type="pct"/>
                  <w:noWrap w:val="0"/>
                  <w:vAlign w:val="center"/>
                </w:tcPr>
                <w:p>
                  <w:pPr>
                    <w:widowControl/>
                    <w:jc w:val="center"/>
                    <w:textAlignment w:val="center"/>
                    <w:rPr>
                      <w:color w:val="auto"/>
                      <w:szCs w:val="21"/>
                    </w:rPr>
                  </w:pPr>
                  <w:r>
                    <w:rPr>
                      <w:rFonts w:hint="eastAsia"/>
                      <w:color w:val="auto"/>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0" w:type="pct"/>
                  <w:vMerge w:val="continue"/>
                  <w:noWrap w:val="0"/>
                  <w:vAlign w:val="center"/>
                </w:tcPr>
                <w:p>
                  <w:pPr>
                    <w:widowControl/>
                    <w:jc w:val="center"/>
                    <w:rPr>
                      <w:color w:val="auto"/>
                      <w:szCs w:val="21"/>
                    </w:rPr>
                  </w:pPr>
                </w:p>
              </w:tc>
              <w:tc>
                <w:tcPr>
                  <w:tcW w:w="462" w:type="pct"/>
                  <w:vMerge w:val="continue"/>
                  <w:noWrap w:val="0"/>
                  <w:vAlign w:val="center"/>
                </w:tcPr>
                <w:p>
                  <w:pPr>
                    <w:widowControl/>
                    <w:jc w:val="center"/>
                    <w:rPr>
                      <w:color w:val="auto"/>
                      <w:szCs w:val="21"/>
                    </w:rPr>
                  </w:pPr>
                </w:p>
              </w:tc>
              <w:tc>
                <w:tcPr>
                  <w:tcW w:w="556" w:type="pct"/>
                  <w:noWrap w:val="0"/>
                  <w:vAlign w:val="center"/>
                </w:tcPr>
                <w:p>
                  <w:pPr>
                    <w:jc w:val="center"/>
                    <w:rPr>
                      <w:color w:val="auto"/>
                      <w:szCs w:val="21"/>
                    </w:rPr>
                  </w:pPr>
                  <w:r>
                    <w:rPr>
                      <w:color w:val="auto"/>
                      <w:szCs w:val="21"/>
                    </w:rPr>
                    <w:t>BOD</w:t>
                  </w:r>
                  <w:r>
                    <w:rPr>
                      <w:color w:val="auto"/>
                      <w:szCs w:val="21"/>
                      <w:vertAlign w:val="subscript"/>
                    </w:rPr>
                    <w:t>5</w:t>
                  </w:r>
                </w:p>
              </w:tc>
              <w:tc>
                <w:tcPr>
                  <w:tcW w:w="607" w:type="pct"/>
                  <w:noWrap w:val="0"/>
                  <w:vAlign w:val="center"/>
                </w:tcPr>
                <w:p>
                  <w:pPr>
                    <w:widowControl/>
                    <w:jc w:val="center"/>
                    <w:textAlignment w:val="center"/>
                    <w:rPr>
                      <w:color w:val="auto"/>
                      <w:szCs w:val="21"/>
                    </w:rPr>
                  </w:pPr>
                  <w:r>
                    <w:rPr>
                      <w:rFonts w:hint="eastAsia"/>
                      <w:color w:val="auto"/>
                      <w:kern w:val="0"/>
                      <w:szCs w:val="21"/>
                      <w:lang w:bidi="ar"/>
                    </w:rPr>
                    <w:t>200</w:t>
                  </w:r>
                </w:p>
              </w:tc>
              <w:tc>
                <w:tcPr>
                  <w:tcW w:w="510" w:type="pct"/>
                  <w:noWrap w:val="0"/>
                  <w:vAlign w:val="center"/>
                </w:tcPr>
                <w:p>
                  <w:pPr>
                    <w:widowControl/>
                    <w:jc w:val="center"/>
                    <w:textAlignment w:val="center"/>
                    <w:rPr>
                      <w:color w:val="auto"/>
                      <w:szCs w:val="21"/>
                    </w:rPr>
                  </w:pPr>
                  <w:r>
                    <w:rPr>
                      <w:rFonts w:hint="eastAsia"/>
                      <w:color w:val="auto"/>
                      <w:szCs w:val="21"/>
                    </w:rPr>
                    <w:t>0.003</w:t>
                  </w:r>
                </w:p>
              </w:tc>
              <w:tc>
                <w:tcPr>
                  <w:tcW w:w="329" w:type="pct"/>
                  <w:vMerge w:val="continue"/>
                  <w:noWrap w:val="0"/>
                  <w:vAlign w:val="center"/>
                </w:tcPr>
                <w:p>
                  <w:pPr>
                    <w:widowControl/>
                    <w:jc w:val="center"/>
                    <w:rPr>
                      <w:color w:val="auto"/>
                      <w:szCs w:val="21"/>
                    </w:rPr>
                  </w:pPr>
                </w:p>
              </w:tc>
              <w:tc>
                <w:tcPr>
                  <w:tcW w:w="312" w:type="pct"/>
                  <w:vMerge w:val="continue"/>
                  <w:noWrap w:val="0"/>
                  <w:vAlign w:val="center"/>
                </w:tcPr>
                <w:p>
                  <w:pPr>
                    <w:widowControl/>
                    <w:jc w:val="center"/>
                    <w:rPr>
                      <w:bCs/>
                      <w:color w:val="auto"/>
                      <w:szCs w:val="21"/>
                    </w:rPr>
                  </w:pPr>
                </w:p>
              </w:tc>
              <w:tc>
                <w:tcPr>
                  <w:tcW w:w="624" w:type="pct"/>
                  <w:vMerge w:val="continue"/>
                  <w:noWrap w:val="0"/>
                  <w:vAlign w:val="center"/>
                </w:tcPr>
                <w:p>
                  <w:pPr>
                    <w:widowControl/>
                    <w:jc w:val="center"/>
                    <w:rPr>
                      <w:color w:val="auto"/>
                      <w:szCs w:val="21"/>
                    </w:rPr>
                  </w:pPr>
                </w:p>
              </w:tc>
              <w:tc>
                <w:tcPr>
                  <w:tcW w:w="666" w:type="pct"/>
                  <w:noWrap w:val="0"/>
                  <w:vAlign w:val="center"/>
                </w:tcPr>
                <w:p>
                  <w:pPr>
                    <w:widowControl/>
                    <w:jc w:val="center"/>
                    <w:textAlignment w:val="center"/>
                    <w:rPr>
                      <w:color w:val="auto"/>
                      <w:szCs w:val="21"/>
                    </w:rPr>
                  </w:pPr>
                  <w:r>
                    <w:rPr>
                      <w:rFonts w:hint="eastAsia"/>
                      <w:color w:val="auto"/>
                      <w:szCs w:val="21"/>
                    </w:rPr>
                    <w:t>/</w:t>
                  </w:r>
                </w:p>
              </w:tc>
              <w:tc>
                <w:tcPr>
                  <w:tcW w:w="564" w:type="pct"/>
                  <w:noWrap w:val="0"/>
                  <w:vAlign w:val="center"/>
                </w:tcPr>
                <w:p>
                  <w:pPr>
                    <w:widowControl/>
                    <w:jc w:val="center"/>
                    <w:textAlignment w:val="center"/>
                    <w:rPr>
                      <w:color w:val="auto"/>
                      <w:szCs w:val="21"/>
                    </w:rPr>
                  </w:pPr>
                  <w:r>
                    <w:rPr>
                      <w:rFonts w:hint="eastAsia"/>
                      <w:color w:val="auto"/>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0" w:type="pct"/>
                  <w:vMerge w:val="continue"/>
                  <w:noWrap w:val="0"/>
                  <w:vAlign w:val="center"/>
                </w:tcPr>
                <w:p>
                  <w:pPr>
                    <w:widowControl/>
                    <w:jc w:val="center"/>
                    <w:rPr>
                      <w:color w:val="auto"/>
                      <w:szCs w:val="21"/>
                    </w:rPr>
                  </w:pPr>
                </w:p>
              </w:tc>
              <w:tc>
                <w:tcPr>
                  <w:tcW w:w="462" w:type="pct"/>
                  <w:vMerge w:val="continue"/>
                  <w:noWrap w:val="0"/>
                  <w:vAlign w:val="center"/>
                </w:tcPr>
                <w:p>
                  <w:pPr>
                    <w:widowControl/>
                    <w:jc w:val="center"/>
                    <w:rPr>
                      <w:color w:val="auto"/>
                      <w:szCs w:val="21"/>
                    </w:rPr>
                  </w:pPr>
                </w:p>
              </w:tc>
              <w:tc>
                <w:tcPr>
                  <w:tcW w:w="556" w:type="pct"/>
                  <w:noWrap w:val="0"/>
                  <w:vAlign w:val="center"/>
                </w:tcPr>
                <w:p>
                  <w:pPr>
                    <w:jc w:val="center"/>
                    <w:rPr>
                      <w:color w:val="auto"/>
                      <w:szCs w:val="21"/>
                    </w:rPr>
                  </w:pPr>
                  <w:r>
                    <w:rPr>
                      <w:color w:val="auto"/>
                      <w:szCs w:val="21"/>
                    </w:rPr>
                    <w:t>pH</w:t>
                  </w:r>
                </w:p>
              </w:tc>
              <w:tc>
                <w:tcPr>
                  <w:tcW w:w="607" w:type="pct"/>
                  <w:noWrap w:val="0"/>
                  <w:vAlign w:val="center"/>
                </w:tcPr>
                <w:p>
                  <w:pPr>
                    <w:autoSpaceDE w:val="0"/>
                    <w:autoSpaceDN w:val="0"/>
                    <w:jc w:val="center"/>
                    <w:rPr>
                      <w:color w:val="auto"/>
                      <w:szCs w:val="21"/>
                    </w:rPr>
                  </w:pPr>
                  <w:r>
                    <w:rPr>
                      <w:color w:val="auto"/>
                      <w:szCs w:val="21"/>
                    </w:rPr>
                    <w:t>6.5-7.5</w:t>
                  </w:r>
                </w:p>
              </w:tc>
              <w:tc>
                <w:tcPr>
                  <w:tcW w:w="510" w:type="pct"/>
                  <w:noWrap w:val="0"/>
                  <w:vAlign w:val="center"/>
                </w:tcPr>
                <w:p>
                  <w:pPr>
                    <w:autoSpaceDE w:val="0"/>
                    <w:autoSpaceDN w:val="0"/>
                    <w:jc w:val="center"/>
                    <w:rPr>
                      <w:color w:val="auto"/>
                      <w:szCs w:val="21"/>
                    </w:rPr>
                  </w:pPr>
                  <w:r>
                    <w:rPr>
                      <w:color w:val="auto"/>
                      <w:szCs w:val="21"/>
                    </w:rPr>
                    <w:t>/</w:t>
                  </w:r>
                </w:p>
              </w:tc>
              <w:tc>
                <w:tcPr>
                  <w:tcW w:w="329" w:type="pct"/>
                  <w:vMerge w:val="continue"/>
                  <w:noWrap w:val="0"/>
                  <w:vAlign w:val="center"/>
                </w:tcPr>
                <w:p>
                  <w:pPr>
                    <w:widowControl/>
                    <w:jc w:val="center"/>
                    <w:rPr>
                      <w:color w:val="auto"/>
                      <w:szCs w:val="21"/>
                    </w:rPr>
                  </w:pPr>
                </w:p>
              </w:tc>
              <w:tc>
                <w:tcPr>
                  <w:tcW w:w="312" w:type="pct"/>
                  <w:vMerge w:val="continue"/>
                  <w:noWrap w:val="0"/>
                  <w:vAlign w:val="center"/>
                </w:tcPr>
                <w:p>
                  <w:pPr>
                    <w:widowControl/>
                    <w:jc w:val="center"/>
                    <w:rPr>
                      <w:bCs/>
                      <w:color w:val="auto"/>
                      <w:szCs w:val="21"/>
                    </w:rPr>
                  </w:pPr>
                </w:p>
              </w:tc>
              <w:tc>
                <w:tcPr>
                  <w:tcW w:w="624" w:type="pct"/>
                  <w:vMerge w:val="continue"/>
                  <w:noWrap w:val="0"/>
                  <w:vAlign w:val="center"/>
                </w:tcPr>
                <w:p>
                  <w:pPr>
                    <w:widowControl/>
                    <w:jc w:val="center"/>
                    <w:rPr>
                      <w:color w:val="auto"/>
                      <w:szCs w:val="21"/>
                    </w:rPr>
                  </w:pPr>
                </w:p>
              </w:tc>
              <w:tc>
                <w:tcPr>
                  <w:tcW w:w="666" w:type="pct"/>
                  <w:noWrap w:val="0"/>
                  <w:vAlign w:val="center"/>
                </w:tcPr>
                <w:p>
                  <w:pPr>
                    <w:autoSpaceDE w:val="0"/>
                    <w:autoSpaceDN w:val="0"/>
                    <w:jc w:val="center"/>
                    <w:rPr>
                      <w:color w:val="auto"/>
                      <w:szCs w:val="21"/>
                    </w:rPr>
                  </w:pPr>
                  <w:r>
                    <w:rPr>
                      <w:rFonts w:hint="eastAsia"/>
                      <w:color w:val="auto"/>
                      <w:szCs w:val="21"/>
                    </w:rPr>
                    <w:t>/</w:t>
                  </w:r>
                </w:p>
              </w:tc>
              <w:tc>
                <w:tcPr>
                  <w:tcW w:w="564" w:type="pct"/>
                  <w:noWrap w:val="0"/>
                  <w:vAlign w:val="center"/>
                </w:tcPr>
                <w:p>
                  <w:pPr>
                    <w:autoSpaceDE w:val="0"/>
                    <w:autoSpaceDN w:val="0"/>
                    <w:jc w:val="center"/>
                    <w:rPr>
                      <w:color w:val="auto"/>
                      <w:szCs w:val="21"/>
                    </w:rPr>
                  </w:pPr>
                  <w:r>
                    <w:rPr>
                      <w:rFonts w:hint="eastAsia"/>
                      <w:color w:val="auto"/>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0" w:type="pct"/>
                  <w:noWrap w:val="0"/>
                  <w:vAlign w:val="center"/>
                </w:tcPr>
                <w:p>
                  <w:pPr>
                    <w:autoSpaceDE w:val="0"/>
                    <w:autoSpaceDN w:val="0"/>
                    <w:contextualSpacing/>
                    <w:jc w:val="center"/>
                    <w:rPr>
                      <w:color w:val="auto"/>
                      <w:szCs w:val="21"/>
                    </w:rPr>
                  </w:pPr>
                  <w:r>
                    <w:rPr>
                      <w:color w:val="auto"/>
                      <w:szCs w:val="21"/>
                    </w:rPr>
                    <w:t>生物质锅炉及软化装置</w:t>
                  </w:r>
                </w:p>
              </w:tc>
              <w:tc>
                <w:tcPr>
                  <w:tcW w:w="462" w:type="pct"/>
                  <w:noWrap w:val="0"/>
                  <w:vAlign w:val="center"/>
                </w:tcPr>
                <w:p>
                  <w:pPr>
                    <w:contextualSpacing/>
                    <w:jc w:val="center"/>
                    <w:rPr>
                      <w:color w:val="auto"/>
                      <w:szCs w:val="21"/>
                    </w:rPr>
                  </w:pPr>
                  <w:r>
                    <w:rPr>
                      <w:color w:val="auto"/>
                      <w:szCs w:val="21"/>
                    </w:rPr>
                    <w:t>软化处理废水及锅炉排污水</w:t>
                  </w:r>
                </w:p>
              </w:tc>
              <w:tc>
                <w:tcPr>
                  <w:tcW w:w="556" w:type="pct"/>
                  <w:noWrap w:val="0"/>
                  <w:vAlign w:val="center"/>
                </w:tcPr>
                <w:p>
                  <w:pPr>
                    <w:contextualSpacing/>
                    <w:jc w:val="center"/>
                    <w:rPr>
                      <w:color w:val="auto"/>
                      <w:szCs w:val="21"/>
                    </w:rPr>
                  </w:pPr>
                  <w:r>
                    <w:rPr>
                      <w:rFonts w:hint="eastAsia"/>
                      <w:color w:val="auto"/>
                      <w:szCs w:val="21"/>
                    </w:rPr>
                    <w:t>COD</w:t>
                  </w:r>
                </w:p>
              </w:tc>
              <w:tc>
                <w:tcPr>
                  <w:tcW w:w="607" w:type="pct"/>
                  <w:noWrap w:val="0"/>
                  <w:vAlign w:val="center"/>
                </w:tcPr>
                <w:p>
                  <w:pPr>
                    <w:contextualSpacing/>
                    <w:jc w:val="center"/>
                    <w:rPr>
                      <w:color w:val="auto"/>
                      <w:szCs w:val="21"/>
                    </w:rPr>
                  </w:pPr>
                  <w:r>
                    <w:rPr>
                      <w:rFonts w:hint="eastAsia"/>
                      <w:color w:val="auto"/>
                      <w:szCs w:val="21"/>
                    </w:rPr>
                    <w:t>84.27</w:t>
                  </w:r>
                </w:p>
              </w:tc>
              <w:tc>
                <w:tcPr>
                  <w:tcW w:w="510" w:type="pct"/>
                  <w:noWrap w:val="0"/>
                  <w:vAlign w:val="center"/>
                </w:tcPr>
                <w:p>
                  <w:pPr>
                    <w:autoSpaceDE w:val="0"/>
                    <w:autoSpaceDN w:val="0"/>
                    <w:contextualSpacing/>
                    <w:jc w:val="center"/>
                    <w:rPr>
                      <w:color w:val="auto"/>
                      <w:szCs w:val="21"/>
                    </w:rPr>
                  </w:pPr>
                  <w:r>
                    <w:rPr>
                      <w:rFonts w:hint="eastAsia"/>
                      <w:color w:val="auto"/>
                      <w:szCs w:val="21"/>
                    </w:rPr>
                    <w:t>0.17</w:t>
                  </w:r>
                </w:p>
              </w:tc>
              <w:tc>
                <w:tcPr>
                  <w:tcW w:w="329" w:type="pct"/>
                  <w:noWrap w:val="0"/>
                  <w:vAlign w:val="center"/>
                </w:tcPr>
                <w:p>
                  <w:pPr>
                    <w:autoSpaceDE w:val="0"/>
                    <w:autoSpaceDN w:val="0"/>
                    <w:contextualSpacing/>
                    <w:jc w:val="center"/>
                    <w:rPr>
                      <w:bCs/>
                      <w:color w:val="auto"/>
                      <w:szCs w:val="21"/>
                    </w:rPr>
                  </w:pPr>
                  <w:r>
                    <w:rPr>
                      <w:rFonts w:hint="eastAsia"/>
                      <w:bCs/>
                      <w:color w:val="auto"/>
                      <w:szCs w:val="21"/>
                    </w:rPr>
                    <w:t>/</w:t>
                  </w:r>
                </w:p>
              </w:tc>
              <w:tc>
                <w:tcPr>
                  <w:tcW w:w="312" w:type="pct"/>
                  <w:noWrap w:val="0"/>
                  <w:vAlign w:val="center"/>
                </w:tcPr>
                <w:p>
                  <w:pPr>
                    <w:pStyle w:val="37"/>
                    <w:spacing w:line="240" w:lineRule="auto"/>
                    <w:contextualSpacing/>
                    <w:rPr>
                      <w:rFonts w:ascii="Times New Roman" w:hAnsi="Times New Roman" w:eastAsia="宋体"/>
                      <w:color w:val="auto"/>
                      <w:sz w:val="21"/>
                      <w:szCs w:val="21"/>
                    </w:rPr>
                  </w:pPr>
                  <w:r>
                    <w:rPr>
                      <w:rFonts w:hint="eastAsia" w:ascii="Times New Roman" w:hAnsi="Times New Roman" w:eastAsia="宋体"/>
                      <w:color w:val="auto"/>
                      <w:sz w:val="21"/>
                      <w:szCs w:val="21"/>
                    </w:rPr>
                    <w:t>/</w:t>
                  </w:r>
                </w:p>
              </w:tc>
              <w:tc>
                <w:tcPr>
                  <w:tcW w:w="624" w:type="pct"/>
                  <w:noWrap w:val="0"/>
                  <w:vAlign w:val="center"/>
                </w:tcPr>
                <w:p>
                  <w:pPr>
                    <w:pStyle w:val="37"/>
                    <w:spacing w:line="240" w:lineRule="auto"/>
                    <w:contextualSpacing/>
                    <w:rPr>
                      <w:rFonts w:ascii="Times New Roman" w:hAnsi="Times New Roman" w:eastAsia="宋体"/>
                      <w:color w:val="auto"/>
                      <w:sz w:val="21"/>
                      <w:szCs w:val="21"/>
                    </w:rPr>
                  </w:pPr>
                  <w:r>
                    <w:rPr>
                      <w:rFonts w:hint="eastAsia" w:ascii="Times New Roman" w:hAnsi="Times New Roman" w:eastAsia="宋体"/>
                      <w:color w:val="auto"/>
                      <w:sz w:val="21"/>
                      <w:szCs w:val="21"/>
                    </w:rPr>
                    <w:t>0</w:t>
                  </w:r>
                </w:p>
              </w:tc>
              <w:tc>
                <w:tcPr>
                  <w:tcW w:w="666" w:type="pct"/>
                  <w:noWrap w:val="0"/>
                  <w:vAlign w:val="center"/>
                </w:tcPr>
                <w:p>
                  <w:pPr>
                    <w:autoSpaceDE w:val="0"/>
                    <w:autoSpaceDN w:val="0"/>
                    <w:jc w:val="center"/>
                    <w:rPr>
                      <w:color w:val="auto"/>
                      <w:szCs w:val="21"/>
                    </w:rPr>
                  </w:pPr>
                  <w:r>
                    <w:rPr>
                      <w:rFonts w:hint="eastAsia"/>
                      <w:color w:val="auto"/>
                      <w:szCs w:val="21"/>
                    </w:rPr>
                    <w:t>/</w:t>
                  </w:r>
                </w:p>
              </w:tc>
              <w:tc>
                <w:tcPr>
                  <w:tcW w:w="564" w:type="pct"/>
                  <w:noWrap w:val="0"/>
                  <w:vAlign w:val="center"/>
                </w:tcPr>
                <w:p>
                  <w:pPr>
                    <w:autoSpaceDE w:val="0"/>
                    <w:autoSpaceDN w:val="0"/>
                    <w:jc w:val="center"/>
                    <w:rPr>
                      <w:color w:val="auto"/>
                      <w:szCs w:val="21"/>
                    </w:rPr>
                  </w:pPr>
                  <w:r>
                    <w:rPr>
                      <w:rFonts w:hint="eastAsia"/>
                      <w:color w:val="auto"/>
                      <w:szCs w:val="21"/>
                    </w:rPr>
                    <w:t>/</w:t>
                  </w:r>
                </w:p>
              </w:tc>
            </w:tr>
          </w:tbl>
          <w:p>
            <w:pPr>
              <w:spacing w:line="360" w:lineRule="auto"/>
              <w:ind w:firstLine="482" w:firstLineChars="200"/>
              <w:contextualSpacing/>
              <w:rPr>
                <w:rFonts w:hAnsi="宋体"/>
                <w:b/>
                <w:bCs/>
                <w:color w:val="auto"/>
                <w:sz w:val="24"/>
              </w:rPr>
            </w:pPr>
            <w:r>
              <w:rPr>
                <w:b/>
                <w:bCs/>
                <w:color w:val="auto"/>
                <w:sz w:val="24"/>
              </w:rPr>
              <w:t>1</w:t>
            </w:r>
            <w:r>
              <w:rPr>
                <w:rFonts w:hAnsi="宋体"/>
                <w:b/>
                <w:bCs/>
                <w:color w:val="auto"/>
                <w:sz w:val="24"/>
              </w:rPr>
              <w:t>、废</w:t>
            </w:r>
            <w:r>
              <w:rPr>
                <w:rFonts w:hint="eastAsia" w:hAnsi="宋体"/>
                <w:b/>
                <w:bCs/>
                <w:color w:val="auto"/>
                <w:sz w:val="24"/>
              </w:rPr>
              <w:t>水</w:t>
            </w:r>
            <w:r>
              <w:rPr>
                <w:rFonts w:hAnsi="宋体"/>
                <w:b/>
                <w:bCs/>
                <w:color w:val="auto"/>
                <w:sz w:val="24"/>
              </w:rPr>
              <w:t>源强</w:t>
            </w:r>
          </w:p>
          <w:p>
            <w:pPr>
              <w:spacing w:line="360" w:lineRule="auto"/>
              <w:ind w:firstLine="480" w:firstLineChars="200"/>
              <w:contextualSpacing/>
              <w:rPr>
                <w:rFonts w:hAnsi="宋体"/>
                <w:color w:val="auto"/>
                <w:kern w:val="0"/>
                <w:sz w:val="24"/>
              </w:rPr>
            </w:pPr>
            <w:r>
              <w:rPr>
                <w:rFonts w:hint="eastAsia" w:hAnsi="宋体"/>
                <w:color w:val="auto"/>
                <w:kern w:val="0"/>
                <w:sz w:val="24"/>
              </w:rPr>
              <w:t>（1）</w:t>
            </w:r>
            <w:r>
              <w:rPr>
                <w:rFonts w:hAnsi="宋体"/>
                <w:color w:val="auto"/>
                <w:kern w:val="0"/>
                <w:sz w:val="24"/>
              </w:rPr>
              <w:t>生活污水</w:t>
            </w:r>
          </w:p>
          <w:p>
            <w:pPr>
              <w:spacing w:line="360" w:lineRule="auto"/>
              <w:ind w:firstLine="480" w:firstLineChars="200"/>
              <w:contextualSpacing/>
              <w:rPr>
                <w:color w:val="auto"/>
                <w:kern w:val="0"/>
                <w:sz w:val="24"/>
              </w:rPr>
            </w:pPr>
            <w:r>
              <w:rPr>
                <w:rFonts w:hAnsi="宋体"/>
                <w:color w:val="auto"/>
                <w:sz w:val="24"/>
              </w:rPr>
              <w:t>根据《水工业工程设计手册</w:t>
            </w:r>
            <w:r>
              <w:rPr>
                <w:color w:val="auto"/>
                <w:sz w:val="24"/>
              </w:rPr>
              <w:t>-</w:t>
            </w:r>
            <w:r>
              <w:rPr>
                <w:rFonts w:hAnsi="宋体"/>
                <w:color w:val="auto"/>
                <w:sz w:val="24"/>
              </w:rPr>
              <w:t>建筑和小区给排水》中</w:t>
            </w:r>
            <w:r>
              <w:rPr>
                <w:rFonts w:ascii="宋体" w:hAnsi="宋体"/>
                <w:color w:val="auto"/>
                <w:sz w:val="24"/>
              </w:rPr>
              <w:t>“</w:t>
            </w:r>
            <w:r>
              <w:rPr>
                <w:color w:val="auto"/>
                <w:sz w:val="24"/>
              </w:rPr>
              <w:t>12.2.2</w:t>
            </w:r>
            <w:r>
              <w:rPr>
                <w:rFonts w:hAnsi="宋体"/>
                <w:color w:val="auto"/>
                <w:sz w:val="24"/>
              </w:rPr>
              <w:t>污水水量和水质</w:t>
            </w:r>
            <w:r>
              <w:rPr>
                <w:rFonts w:ascii="宋体" w:hAnsi="宋体"/>
                <w:color w:val="auto"/>
                <w:sz w:val="24"/>
              </w:rPr>
              <w:t>”</w:t>
            </w:r>
            <w:r>
              <w:rPr>
                <w:rFonts w:hAnsi="宋体"/>
                <w:color w:val="auto"/>
                <w:sz w:val="24"/>
              </w:rPr>
              <w:t>中给出的住宅、各类公共建筑污水水质平均浓度，得出本项目生活污水水质为</w:t>
            </w:r>
            <w:r>
              <w:rPr>
                <w:color w:val="auto"/>
                <w:sz w:val="24"/>
              </w:rPr>
              <w:t>COD</w:t>
            </w:r>
            <w:r>
              <w:rPr>
                <w:rFonts w:hAnsi="宋体"/>
                <w:color w:val="auto"/>
                <w:sz w:val="24"/>
              </w:rPr>
              <w:t>：</w:t>
            </w:r>
            <w:r>
              <w:rPr>
                <w:color w:val="auto"/>
                <w:sz w:val="24"/>
              </w:rPr>
              <w:t>350mg/m</w:t>
            </w:r>
            <w:r>
              <w:rPr>
                <w:color w:val="auto"/>
                <w:sz w:val="24"/>
                <w:vertAlign w:val="superscript"/>
              </w:rPr>
              <w:t>3</w:t>
            </w:r>
            <w:r>
              <w:rPr>
                <w:rFonts w:hAnsi="宋体"/>
                <w:color w:val="auto"/>
                <w:sz w:val="24"/>
              </w:rPr>
              <w:t>、</w:t>
            </w:r>
            <w:r>
              <w:rPr>
                <w:color w:val="auto"/>
                <w:sz w:val="24"/>
              </w:rPr>
              <w:t>BOD</w:t>
            </w:r>
            <w:r>
              <w:rPr>
                <w:color w:val="auto"/>
                <w:sz w:val="24"/>
                <w:vertAlign w:val="subscript"/>
              </w:rPr>
              <w:t>5</w:t>
            </w:r>
            <w:r>
              <w:rPr>
                <w:rFonts w:hAnsi="宋体"/>
                <w:color w:val="auto"/>
                <w:sz w:val="24"/>
              </w:rPr>
              <w:t>：</w:t>
            </w:r>
            <w:r>
              <w:rPr>
                <w:color w:val="auto"/>
                <w:sz w:val="24"/>
              </w:rPr>
              <w:t>200mg/m</w:t>
            </w:r>
            <w:r>
              <w:rPr>
                <w:color w:val="auto"/>
                <w:sz w:val="24"/>
                <w:vertAlign w:val="superscript"/>
              </w:rPr>
              <w:t>3</w:t>
            </w:r>
            <w:r>
              <w:rPr>
                <w:rFonts w:hAnsi="宋体"/>
                <w:color w:val="auto"/>
                <w:sz w:val="24"/>
              </w:rPr>
              <w:t>、</w:t>
            </w:r>
            <w:r>
              <w:rPr>
                <w:color w:val="auto"/>
                <w:sz w:val="24"/>
              </w:rPr>
              <w:t>SS</w:t>
            </w:r>
            <w:r>
              <w:rPr>
                <w:rFonts w:hAnsi="宋体"/>
                <w:color w:val="auto"/>
                <w:sz w:val="24"/>
              </w:rPr>
              <w:t>：</w:t>
            </w:r>
            <w:r>
              <w:rPr>
                <w:color w:val="auto"/>
                <w:sz w:val="24"/>
              </w:rPr>
              <w:t>220mg/m</w:t>
            </w:r>
            <w:r>
              <w:rPr>
                <w:color w:val="auto"/>
                <w:sz w:val="24"/>
                <w:vertAlign w:val="superscript"/>
              </w:rPr>
              <w:t>3</w:t>
            </w:r>
            <w:r>
              <w:rPr>
                <w:rFonts w:hAnsi="宋体"/>
                <w:color w:val="auto"/>
                <w:sz w:val="24"/>
              </w:rPr>
              <w:t>、氨氮：</w:t>
            </w:r>
            <w:r>
              <w:rPr>
                <w:color w:val="auto"/>
                <w:sz w:val="24"/>
              </w:rPr>
              <w:t>35mg/m</w:t>
            </w:r>
            <w:r>
              <w:rPr>
                <w:color w:val="auto"/>
                <w:sz w:val="24"/>
                <w:vertAlign w:val="superscript"/>
              </w:rPr>
              <w:t>3</w:t>
            </w:r>
            <w:r>
              <w:rPr>
                <w:rFonts w:hAnsi="宋体"/>
                <w:color w:val="auto"/>
                <w:sz w:val="24"/>
              </w:rPr>
              <w:t>、</w:t>
            </w:r>
            <w:r>
              <w:rPr>
                <w:color w:val="auto"/>
                <w:sz w:val="24"/>
              </w:rPr>
              <w:t>pH</w:t>
            </w:r>
            <w:r>
              <w:rPr>
                <w:rFonts w:hAnsi="宋体"/>
                <w:color w:val="auto"/>
                <w:sz w:val="24"/>
              </w:rPr>
              <w:t>：</w:t>
            </w:r>
            <w:r>
              <w:rPr>
                <w:color w:val="auto"/>
                <w:sz w:val="24"/>
              </w:rPr>
              <w:t>6.5~7.5</w:t>
            </w:r>
            <w:r>
              <w:rPr>
                <w:rFonts w:hAnsi="宋体"/>
                <w:color w:val="auto"/>
                <w:sz w:val="24"/>
              </w:rPr>
              <w:t>。</w:t>
            </w:r>
            <w:r>
              <w:rPr>
                <w:rFonts w:hint="eastAsia"/>
                <w:color w:val="auto"/>
                <w:sz w:val="24"/>
              </w:rPr>
              <w:t>本项目生活污水</w:t>
            </w:r>
            <w:r>
              <w:rPr>
                <w:color w:val="auto"/>
                <w:kern w:val="0"/>
                <w:sz w:val="24"/>
              </w:rPr>
              <w:t>产生量为</w:t>
            </w:r>
            <w:r>
              <w:rPr>
                <w:color w:val="auto"/>
                <w:sz w:val="24"/>
              </w:rPr>
              <w:t>0.</w:t>
            </w:r>
            <w:r>
              <w:rPr>
                <w:rFonts w:hint="eastAsia"/>
                <w:color w:val="auto"/>
                <w:sz w:val="24"/>
              </w:rPr>
              <w:t>1</w:t>
            </w:r>
            <w:r>
              <w:rPr>
                <w:color w:val="auto"/>
                <w:sz w:val="24"/>
              </w:rPr>
              <w:t>t/d，</w:t>
            </w:r>
            <w:r>
              <w:rPr>
                <w:rFonts w:hint="eastAsia"/>
                <w:color w:val="auto"/>
                <w:sz w:val="24"/>
              </w:rPr>
              <w:t>18</w:t>
            </w:r>
            <w:r>
              <w:rPr>
                <w:color w:val="auto"/>
                <w:sz w:val="24"/>
              </w:rPr>
              <w:t>t/a</w:t>
            </w:r>
            <w:r>
              <w:rPr>
                <w:rFonts w:hint="eastAsia"/>
                <w:color w:val="auto"/>
                <w:sz w:val="24"/>
              </w:rPr>
              <w:t>，依托附近公用防渗旱厕，定期清掏，外运堆肥，不外排。</w:t>
            </w:r>
          </w:p>
          <w:p>
            <w:pPr>
              <w:spacing w:line="360" w:lineRule="auto"/>
              <w:ind w:firstLine="480" w:firstLineChars="200"/>
              <w:contextualSpacing/>
              <w:rPr>
                <w:rFonts w:hAnsi="宋体"/>
                <w:color w:val="auto"/>
                <w:kern w:val="0"/>
                <w:sz w:val="24"/>
              </w:rPr>
            </w:pPr>
            <w:r>
              <w:rPr>
                <w:rFonts w:hint="eastAsia" w:hAnsi="宋体"/>
                <w:color w:val="auto"/>
                <w:kern w:val="0"/>
                <w:sz w:val="24"/>
              </w:rPr>
              <w:t>（2）软化处理废水及锅炉定排水</w:t>
            </w:r>
          </w:p>
          <w:p>
            <w:pPr>
              <w:spacing w:line="360" w:lineRule="auto"/>
              <w:ind w:firstLine="480" w:firstLineChars="200"/>
              <w:contextualSpacing/>
              <w:rPr>
                <w:rFonts w:hAnsi="宋体"/>
                <w:bCs/>
                <w:color w:val="auto"/>
                <w:sz w:val="24"/>
              </w:rPr>
            </w:pPr>
            <w:r>
              <w:rPr>
                <w:rFonts w:hint="eastAsia" w:hAnsi="宋体"/>
                <w:color w:val="auto"/>
                <w:kern w:val="0"/>
                <w:sz w:val="24"/>
              </w:rPr>
              <w:t>软化处理废水及锅炉定排水</w:t>
            </w:r>
            <w:r>
              <w:rPr>
                <w:rFonts w:hint="eastAsia" w:hAnsi="宋体"/>
                <w:bCs/>
                <w:color w:val="auto"/>
                <w:kern w:val="0"/>
                <w:sz w:val="24"/>
              </w:rPr>
              <w:t>产生量</w:t>
            </w:r>
            <w:r>
              <w:rPr>
                <w:rFonts w:hint="eastAsia" w:hAnsi="宋体"/>
                <w:color w:val="auto"/>
                <w:kern w:val="0"/>
                <w:sz w:val="24"/>
              </w:rPr>
              <w:t>为</w:t>
            </w:r>
            <w:r>
              <w:rPr>
                <w:rFonts w:hint="eastAsia"/>
                <w:bCs/>
                <w:color w:val="auto"/>
                <w:sz w:val="24"/>
              </w:rPr>
              <w:t>10.9t/d，1962.6t/a</w:t>
            </w:r>
            <w:r>
              <w:rPr>
                <w:rFonts w:hint="eastAsia" w:hAnsi="宋体"/>
                <w:color w:val="auto"/>
                <w:kern w:val="0"/>
                <w:sz w:val="24"/>
              </w:rPr>
              <w:t>，</w:t>
            </w:r>
            <w:r>
              <w:rPr>
                <w:rFonts w:hAnsi="宋体"/>
                <w:bCs/>
                <w:color w:val="auto"/>
                <w:sz w:val="24"/>
              </w:rPr>
              <w:t>软化处理废水</w:t>
            </w:r>
            <w:r>
              <w:rPr>
                <w:rFonts w:hint="eastAsia" w:hAnsi="宋体"/>
                <w:color w:val="auto"/>
                <w:kern w:val="0"/>
                <w:sz w:val="24"/>
              </w:rPr>
              <w:t>及锅炉定排水</w:t>
            </w:r>
            <w:r>
              <w:rPr>
                <w:rFonts w:hAnsi="宋体"/>
                <w:bCs/>
                <w:color w:val="auto"/>
                <w:sz w:val="24"/>
              </w:rPr>
              <w:t>根据《</w:t>
            </w:r>
            <w:r>
              <w:rPr>
                <w:rFonts w:hint="eastAsia" w:hAnsi="宋体"/>
                <w:bCs/>
                <w:color w:val="auto"/>
                <w:sz w:val="24"/>
              </w:rPr>
              <w:t>排放源统计调查产排污核算方法和系数手册</w:t>
            </w:r>
            <w:r>
              <w:rPr>
                <w:rFonts w:hAnsi="宋体"/>
                <w:bCs/>
                <w:color w:val="auto"/>
                <w:sz w:val="24"/>
              </w:rPr>
              <w:t>》工业锅炉（热力生产和供应行业）产排污系数</w:t>
            </w:r>
            <w:r>
              <w:rPr>
                <w:rFonts w:hint="eastAsia" w:hAnsi="宋体"/>
                <w:bCs/>
                <w:color w:val="auto"/>
                <w:sz w:val="24"/>
              </w:rPr>
              <w:t>，</w:t>
            </w:r>
            <w:r>
              <w:rPr>
                <w:rFonts w:hAnsi="宋体"/>
                <w:bCs/>
                <w:color w:val="auto"/>
                <w:sz w:val="24"/>
              </w:rPr>
              <w:t>COD的产污系数为30克/吨-原料，</w:t>
            </w:r>
            <w:r>
              <w:rPr>
                <w:rFonts w:hint="eastAsia" w:hAnsi="宋体"/>
                <w:bCs/>
                <w:color w:val="auto"/>
                <w:sz w:val="24"/>
              </w:rPr>
              <w:t>生物质颗粒燃料</w:t>
            </w:r>
            <w:r>
              <w:rPr>
                <w:rFonts w:hAnsi="宋体"/>
                <w:bCs/>
                <w:color w:val="auto"/>
                <w:sz w:val="24"/>
              </w:rPr>
              <w:t>量为</w:t>
            </w:r>
            <w:r>
              <w:rPr>
                <w:rFonts w:hint="eastAsia" w:hAnsi="宋体"/>
                <w:bCs/>
                <w:color w:val="auto"/>
                <w:sz w:val="24"/>
              </w:rPr>
              <w:t>5515</w:t>
            </w:r>
            <w:r>
              <w:rPr>
                <w:rFonts w:hAnsi="宋体"/>
                <w:bCs/>
                <w:color w:val="auto"/>
                <w:sz w:val="24"/>
              </w:rPr>
              <w:t>t/a，COD</w:t>
            </w:r>
            <w:r>
              <w:rPr>
                <w:rFonts w:hint="eastAsia" w:hAnsi="宋体"/>
                <w:bCs/>
                <w:color w:val="auto"/>
                <w:sz w:val="24"/>
              </w:rPr>
              <w:t>产生</w:t>
            </w:r>
            <w:r>
              <w:rPr>
                <w:rFonts w:hAnsi="宋体"/>
                <w:bCs/>
                <w:color w:val="auto"/>
                <w:sz w:val="24"/>
              </w:rPr>
              <w:t>浓度为</w:t>
            </w:r>
            <w:r>
              <w:rPr>
                <w:rFonts w:hint="eastAsia" w:hAnsi="宋体"/>
                <w:bCs/>
                <w:color w:val="auto"/>
                <w:sz w:val="24"/>
              </w:rPr>
              <w:t>84.27</w:t>
            </w:r>
            <w:r>
              <w:rPr>
                <w:rFonts w:hAnsi="宋体"/>
                <w:bCs/>
                <w:color w:val="auto"/>
                <w:sz w:val="24"/>
              </w:rPr>
              <w:t>mg/L、</w:t>
            </w:r>
            <w:r>
              <w:rPr>
                <w:rFonts w:hint="eastAsia" w:hAnsi="宋体"/>
                <w:bCs/>
                <w:color w:val="auto"/>
                <w:sz w:val="24"/>
              </w:rPr>
              <w:t>产生</w:t>
            </w:r>
            <w:r>
              <w:rPr>
                <w:rFonts w:hAnsi="宋体"/>
                <w:bCs/>
                <w:color w:val="auto"/>
                <w:sz w:val="24"/>
              </w:rPr>
              <w:t>量为</w:t>
            </w:r>
            <w:r>
              <w:rPr>
                <w:rFonts w:hint="eastAsia" w:hAnsi="宋体"/>
                <w:bCs/>
                <w:color w:val="auto"/>
                <w:sz w:val="24"/>
              </w:rPr>
              <w:t>0.17</w:t>
            </w:r>
            <w:r>
              <w:rPr>
                <w:rFonts w:hAnsi="宋体"/>
                <w:bCs/>
                <w:color w:val="auto"/>
                <w:sz w:val="24"/>
              </w:rPr>
              <w:t>t/a。软化处理废水及锅炉排污水</w:t>
            </w:r>
            <w:r>
              <w:rPr>
                <w:rFonts w:hint="eastAsia" w:hAnsi="宋体"/>
                <w:bCs/>
                <w:color w:val="auto"/>
                <w:sz w:val="24"/>
              </w:rPr>
              <w:t>用于湿式除渣及锅炉房洒水抑尘，不外排</w:t>
            </w:r>
            <w:r>
              <w:rPr>
                <w:rFonts w:hAnsi="宋体"/>
                <w:bCs/>
                <w:color w:val="auto"/>
                <w:sz w:val="24"/>
              </w:rPr>
              <w:t>。</w:t>
            </w:r>
          </w:p>
          <w:p>
            <w:pPr>
              <w:spacing w:line="360" w:lineRule="auto"/>
              <w:ind w:firstLine="482" w:firstLineChars="200"/>
              <w:jc w:val="left"/>
              <w:rPr>
                <w:b/>
                <w:color w:val="auto"/>
                <w:sz w:val="24"/>
              </w:rPr>
            </w:pPr>
            <w:r>
              <w:rPr>
                <w:rFonts w:hint="eastAsia"/>
                <w:b/>
                <w:color w:val="auto"/>
                <w:sz w:val="24"/>
              </w:rPr>
              <w:t>2</w:t>
            </w:r>
            <w:r>
              <w:rPr>
                <w:b/>
                <w:color w:val="auto"/>
                <w:sz w:val="24"/>
              </w:rPr>
              <w:t>、污染物防治措施可行性及达标分析</w:t>
            </w:r>
          </w:p>
          <w:p>
            <w:pPr>
              <w:pStyle w:val="40"/>
              <w:ind w:firstLine="480" w:firstLineChars="200"/>
              <w:jc w:val="left"/>
              <w:rPr>
                <w:b/>
                <w:bCs/>
                <w:color w:val="auto"/>
              </w:rPr>
            </w:pPr>
            <w:r>
              <w:rPr>
                <w:rFonts w:hint="eastAsia" w:hAnsi="宋体"/>
                <w:color w:val="auto"/>
                <w:szCs w:val="21"/>
              </w:rPr>
              <w:t>本项目生活污水依托附近公用防渗旱厕，定期清掏，外运堆肥，不外排；软化处理废水及锅炉排污水</w:t>
            </w:r>
            <w:r>
              <w:rPr>
                <w:rFonts w:hint="eastAsia" w:hAnsi="宋体"/>
                <w:bCs/>
                <w:color w:val="auto"/>
                <w:szCs w:val="21"/>
              </w:rPr>
              <w:t>用于湿式除渣及锅炉房洒水抑尘，不外排</w:t>
            </w:r>
            <w:r>
              <w:rPr>
                <w:color w:val="auto"/>
              </w:rPr>
              <w:t>。</w:t>
            </w:r>
          </w:p>
          <w:p>
            <w:pPr>
              <w:spacing w:line="360" w:lineRule="auto"/>
              <w:ind w:firstLine="482" w:firstLineChars="200"/>
              <w:contextualSpacing/>
              <w:rPr>
                <w:b/>
                <w:bCs/>
                <w:color w:val="auto"/>
                <w:sz w:val="24"/>
              </w:rPr>
            </w:pPr>
            <w:r>
              <w:rPr>
                <w:b/>
                <w:bCs/>
                <w:color w:val="auto"/>
                <w:sz w:val="24"/>
              </w:rPr>
              <w:t>（三）噪声</w:t>
            </w:r>
          </w:p>
          <w:p>
            <w:pPr>
              <w:spacing w:line="360" w:lineRule="auto"/>
              <w:ind w:firstLine="482" w:firstLineChars="200"/>
              <w:contextualSpacing/>
              <w:rPr>
                <w:b/>
                <w:bCs/>
                <w:color w:val="auto"/>
                <w:sz w:val="24"/>
              </w:rPr>
            </w:pPr>
            <w:r>
              <w:rPr>
                <w:b/>
                <w:bCs/>
                <w:color w:val="auto"/>
                <w:sz w:val="24"/>
              </w:rPr>
              <w:t>1、噪声源强</w:t>
            </w:r>
          </w:p>
          <w:p>
            <w:pPr>
              <w:widowControl/>
              <w:spacing w:line="360" w:lineRule="auto"/>
              <w:ind w:firstLine="456" w:firstLineChars="190"/>
              <w:jc w:val="left"/>
              <w:rPr>
                <w:color w:val="auto"/>
                <w:sz w:val="24"/>
              </w:rPr>
            </w:pPr>
            <w:r>
              <w:rPr>
                <w:color w:val="auto"/>
                <w:kern w:val="0"/>
                <w:sz w:val="24"/>
              </w:rPr>
              <w:t>本项目的</w:t>
            </w:r>
            <w:r>
              <w:rPr>
                <w:rFonts w:hint="eastAsia"/>
                <w:bCs/>
                <w:color w:val="auto"/>
                <w:kern w:val="0"/>
                <w:sz w:val="24"/>
              </w:rPr>
              <w:t>主要噪声来自</w:t>
            </w:r>
            <w:r>
              <w:rPr>
                <w:rFonts w:hint="eastAsia"/>
                <w:color w:val="auto"/>
                <w:kern w:val="0"/>
                <w:sz w:val="24"/>
              </w:rPr>
              <w:t>锅炉一次网补水泵、引风机</w:t>
            </w:r>
            <w:r>
              <w:rPr>
                <w:color w:val="auto"/>
                <w:kern w:val="0"/>
                <w:sz w:val="24"/>
              </w:rPr>
              <w:t>等设备运行时产生噪声。设备噪声在7</w:t>
            </w:r>
            <w:r>
              <w:rPr>
                <w:rFonts w:hint="eastAsia"/>
                <w:color w:val="auto"/>
                <w:kern w:val="0"/>
                <w:sz w:val="24"/>
              </w:rPr>
              <w:t>0</w:t>
            </w:r>
            <w:r>
              <w:rPr>
                <w:color w:val="auto"/>
                <w:kern w:val="0"/>
                <w:sz w:val="24"/>
              </w:rPr>
              <w:t>～</w:t>
            </w:r>
            <w:r>
              <w:rPr>
                <w:rFonts w:hint="eastAsia"/>
                <w:color w:val="auto"/>
                <w:kern w:val="0"/>
                <w:sz w:val="24"/>
              </w:rPr>
              <w:t>80</w:t>
            </w:r>
            <w:r>
              <w:rPr>
                <w:color w:val="auto"/>
                <w:kern w:val="0"/>
                <w:sz w:val="24"/>
              </w:rPr>
              <w:t>dB(A)左右。</w:t>
            </w:r>
            <w:r>
              <w:rPr>
                <w:color w:val="auto"/>
                <w:sz w:val="24"/>
              </w:rPr>
              <w:t>本项目设备产生的噪声源强见下表。</w:t>
            </w:r>
          </w:p>
          <w:p>
            <w:pPr>
              <w:spacing w:line="360" w:lineRule="auto"/>
              <w:ind w:firstLine="482" w:firstLineChars="200"/>
              <w:jc w:val="center"/>
              <w:rPr>
                <w:rFonts w:hint="eastAsia"/>
                <w:b/>
                <w:color w:val="auto"/>
                <w:sz w:val="24"/>
              </w:rPr>
            </w:pPr>
            <w:r>
              <w:rPr>
                <w:b/>
                <w:color w:val="auto"/>
                <w:sz w:val="24"/>
              </w:rPr>
              <w:t>表4-</w:t>
            </w:r>
            <w:r>
              <w:rPr>
                <w:rFonts w:hint="eastAsia"/>
                <w:b/>
                <w:color w:val="auto"/>
                <w:sz w:val="24"/>
              </w:rPr>
              <w:t>6</w:t>
            </w:r>
            <w:r>
              <w:rPr>
                <w:b/>
                <w:color w:val="auto"/>
                <w:sz w:val="24"/>
              </w:rPr>
              <w:t>工业企业噪声源强调查清单</w:t>
            </w:r>
          </w:p>
          <w:tbl>
            <w:tblPr>
              <w:tblStyle w:val="15"/>
              <w:tblW w:w="4806"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580"/>
              <w:gridCol w:w="957"/>
              <w:gridCol w:w="1024"/>
              <w:gridCol w:w="1618"/>
              <w:gridCol w:w="989"/>
              <w:gridCol w:w="1456"/>
              <w:gridCol w:w="992"/>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6" w:hRule="atLeast"/>
                <w:jc w:val="center"/>
              </w:trPr>
              <w:tc>
                <w:tcPr>
                  <w:tcW w:w="381" w:type="pct"/>
                  <w:vMerge w:val="restart"/>
                  <w:noWrap w:val="0"/>
                  <w:vAlign w:val="center"/>
                </w:tcPr>
                <w:p>
                  <w:pPr>
                    <w:pStyle w:val="38"/>
                    <w:rPr>
                      <w:rFonts w:eastAsia="宋体"/>
                      <w:color w:val="auto"/>
                      <w:szCs w:val="21"/>
                      <w:lang w:val="en-US" w:eastAsia="zh-CN"/>
                    </w:rPr>
                  </w:pPr>
                  <w:r>
                    <w:rPr>
                      <w:rFonts w:eastAsia="宋体"/>
                      <w:color w:val="auto"/>
                      <w:szCs w:val="21"/>
                      <w:lang w:val="en-US" w:eastAsia="zh-CN"/>
                    </w:rPr>
                    <w:t>序号</w:t>
                  </w:r>
                </w:p>
              </w:tc>
              <w:tc>
                <w:tcPr>
                  <w:tcW w:w="628" w:type="pct"/>
                  <w:vMerge w:val="restart"/>
                  <w:noWrap w:val="0"/>
                  <w:vAlign w:val="center"/>
                </w:tcPr>
                <w:p>
                  <w:pPr>
                    <w:pStyle w:val="38"/>
                    <w:rPr>
                      <w:rFonts w:eastAsia="宋体"/>
                      <w:color w:val="auto"/>
                      <w:szCs w:val="21"/>
                      <w:lang w:val="en-US" w:eastAsia="zh-CN"/>
                    </w:rPr>
                  </w:pPr>
                  <w:r>
                    <w:rPr>
                      <w:rFonts w:eastAsia="宋体"/>
                      <w:color w:val="auto"/>
                      <w:szCs w:val="21"/>
                      <w:lang w:val="en-US" w:eastAsia="zh-CN"/>
                    </w:rPr>
                    <w:t>建筑物名称</w:t>
                  </w:r>
                </w:p>
              </w:tc>
              <w:tc>
                <w:tcPr>
                  <w:tcW w:w="672" w:type="pct"/>
                  <w:vMerge w:val="restart"/>
                  <w:noWrap w:val="0"/>
                  <w:vAlign w:val="center"/>
                </w:tcPr>
                <w:p>
                  <w:pPr>
                    <w:pStyle w:val="38"/>
                    <w:rPr>
                      <w:rFonts w:eastAsia="宋体"/>
                      <w:color w:val="auto"/>
                      <w:szCs w:val="21"/>
                      <w:lang w:val="en-US" w:eastAsia="zh-CN"/>
                    </w:rPr>
                  </w:pPr>
                  <w:r>
                    <w:rPr>
                      <w:rFonts w:hint="eastAsia" w:eastAsia="宋体"/>
                      <w:color w:val="auto"/>
                      <w:szCs w:val="21"/>
                      <w:lang w:val="en-US" w:eastAsia="zh-CN"/>
                    </w:rPr>
                    <w:t>噪</w:t>
                  </w:r>
                  <w:r>
                    <w:rPr>
                      <w:rFonts w:eastAsia="宋体"/>
                      <w:color w:val="auto"/>
                      <w:szCs w:val="21"/>
                      <w:lang w:val="en-US" w:eastAsia="zh-CN"/>
                    </w:rPr>
                    <w:t>声源名称</w:t>
                  </w:r>
                </w:p>
              </w:tc>
              <w:tc>
                <w:tcPr>
                  <w:tcW w:w="1061" w:type="pct"/>
                  <w:noWrap w:val="0"/>
                  <w:vAlign w:val="center"/>
                </w:tcPr>
                <w:p>
                  <w:pPr>
                    <w:pStyle w:val="38"/>
                    <w:rPr>
                      <w:rFonts w:eastAsia="宋体"/>
                      <w:color w:val="auto"/>
                      <w:szCs w:val="21"/>
                      <w:lang w:val="en-US" w:eastAsia="zh-CN"/>
                    </w:rPr>
                  </w:pPr>
                  <w:r>
                    <w:rPr>
                      <w:rFonts w:hint="eastAsia" w:eastAsia="宋体"/>
                      <w:color w:val="auto"/>
                      <w:szCs w:val="21"/>
                      <w:lang w:val="en-US" w:eastAsia="zh-CN"/>
                    </w:rPr>
                    <w:t>产生强度</w:t>
                  </w:r>
                </w:p>
              </w:tc>
              <w:tc>
                <w:tcPr>
                  <w:tcW w:w="649" w:type="pct"/>
                  <w:vMerge w:val="restart"/>
                  <w:noWrap w:val="0"/>
                  <w:vAlign w:val="center"/>
                </w:tcPr>
                <w:p>
                  <w:pPr>
                    <w:pStyle w:val="38"/>
                    <w:rPr>
                      <w:rFonts w:eastAsia="宋体"/>
                      <w:color w:val="auto"/>
                      <w:szCs w:val="21"/>
                      <w:lang w:val="en-US" w:eastAsia="zh-CN"/>
                    </w:rPr>
                  </w:pPr>
                  <w:r>
                    <w:rPr>
                      <w:rFonts w:eastAsia="宋体"/>
                      <w:color w:val="auto"/>
                      <w:szCs w:val="21"/>
                      <w:lang w:val="en-US" w:eastAsia="zh-CN"/>
                    </w:rPr>
                    <w:t>声源</w:t>
                  </w:r>
                  <w:r>
                    <w:rPr>
                      <w:rFonts w:hint="eastAsia" w:eastAsia="宋体"/>
                      <w:color w:val="auto"/>
                      <w:szCs w:val="21"/>
                      <w:lang w:val="en-US" w:eastAsia="zh-CN"/>
                    </w:rPr>
                    <w:t>降噪</w:t>
                  </w:r>
                  <w:r>
                    <w:rPr>
                      <w:rFonts w:eastAsia="宋体"/>
                      <w:color w:val="auto"/>
                      <w:szCs w:val="21"/>
                      <w:lang w:val="en-US" w:eastAsia="zh-CN"/>
                    </w:rPr>
                    <w:t>措施</w:t>
                  </w:r>
                </w:p>
              </w:tc>
              <w:tc>
                <w:tcPr>
                  <w:tcW w:w="955" w:type="pct"/>
                  <w:noWrap w:val="0"/>
                  <w:vAlign w:val="center"/>
                </w:tcPr>
                <w:p>
                  <w:pPr>
                    <w:pStyle w:val="38"/>
                    <w:rPr>
                      <w:rFonts w:eastAsia="宋体"/>
                      <w:color w:val="auto"/>
                      <w:szCs w:val="21"/>
                      <w:lang w:val="en-US" w:eastAsia="zh-CN"/>
                    </w:rPr>
                  </w:pPr>
                  <w:r>
                    <w:rPr>
                      <w:rFonts w:hint="eastAsia" w:eastAsia="宋体"/>
                      <w:color w:val="auto"/>
                      <w:szCs w:val="21"/>
                      <w:lang w:val="en-US" w:eastAsia="zh-CN"/>
                    </w:rPr>
                    <w:t>排放强度</w:t>
                  </w:r>
                </w:p>
              </w:tc>
              <w:tc>
                <w:tcPr>
                  <w:tcW w:w="651" w:type="pct"/>
                  <w:vMerge w:val="restart"/>
                  <w:noWrap w:val="0"/>
                  <w:vAlign w:val="center"/>
                </w:tcPr>
                <w:p>
                  <w:pPr>
                    <w:pStyle w:val="38"/>
                    <w:spacing w:before="240"/>
                    <w:rPr>
                      <w:rFonts w:eastAsia="宋体"/>
                      <w:color w:val="auto"/>
                      <w:szCs w:val="21"/>
                      <w:lang w:val="en-US" w:eastAsia="zh-CN"/>
                    </w:rPr>
                  </w:pPr>
                  <w:r>
                    <w:rPr>
                      <w:rFonts w:hint="eastAsia" w:eastAsia="宋体"/>
                      <w:color w:val="auto"/>
                      <w:szCs w:val="21"/>
                      <w:lang w:val="en-US" w:eastAsia="zh-CN"/>
                    </w:rPr>
                    <w:t>持续</w:t>
                  </w:r>
                  <w:r>
                    <w:rPr>
                      <w:rFonts w:eastAsia="宋体"/>
                      <w:color w:val="auto"/>
                      <w:szCs w:val="21"/>
                      <w:lang w:val="en-US" w:eastAsia="zh-CN"/>
                    </w:rPr>
                    <w:t>时间h/a</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825" w:hRule="atLeast"/>
                <w:jc w:val="center"/>
              </w:trPr>
              <w:tc>
                <w:tcPr>
                  <w:tcW w:w="381" w:type="pct"/>
                  <w:vMerge w:val="continue"/>
                  <w:noWrap w:val="0"/>
                  <w:vAlign w:val="center"/>
                </w:tcPr>
                <w:p>
                  <w:pPr>
                    <w:pStyle w:val="38"/>
                    <w:rPr>
                      <w:rFonts w:eastAsia="宋体"/>
                      <w:color w:val="auto"/>
                      <w:szCs w:val="21"/>
                      <w:lang w:val="en-US" w:eastAsia="zh-CN"/>
                    </w:rPr>
                  </w:pPr>
                </w:p>
              </w:tc>
              <w:tc>
                <w:tcPr>
                  <w:tcW w:w="628" w:type="pct"/>
                  <w:vMerge w:val="continue"/>
                  <w:noWrap w:val="0"/>
                  <w:vAlign w:val="center"/>
                </w:tcPr>
                <w:p>
                  <w:pPr>
                    <w:pStyle w:val="38"/>
                    <w:rPr>
                      <w:rFonts w:eastAsia="宋体"/>
                      <w:color w:val="auto"/>
                      <w:szCs w:val="21"/>
                      <w:lang w:val="en-US" w:eastAsia="zh-CN"/>
                    </w:rPr>
                  </w:pPr>
                </w:p>
              </w:tc>
              <w:tc>
                <w:tcPr>
                  <w:tcW w:w="672" w:type="pct"/>
                  <w:vMerge w:val="continue"/>
                  <w:noWrap w:val="0"/>
                  <w:vAlign w:val="center"/>
                </w:tcPr>
                <w:p>
                  <w:pPr>
                    <w:pStyle w:val="38"/>
                    <w:rPr>
                      <w:rFonts w:eastAsia="宋体"/>
                      <w:color w:val="auto"/>
                      <w:szCs w:val="21"/>
                      <w:lang w:val="en-US" w:eastAsia="zh-CN"/>
                    </w:rPr>
                  </w:pPr>
                </w:p>
              </w:tc>
              <w:tc>
                <w:tcPr>
                  <w:tcW w:w="1061" w:type="pct"/>
                  <w:noWrap w:val="0"/>
                  <w:vAlign w:val="center"/>
                </w:tcPr>
                <w:p>
                  <w:pPr>
                    <w:pStyle w:val="38"/>
                    <w:rPr>
                      <w:rFonts w:eastAsia="宋体"/>
                      <w:color w:val="auto"/>
                      <w:szCs w:val="21"/>
                      <w:lang w:val="en-US" w:eastAsia="zh-CN"/>
                    </w:rPr>
                  </w:pPr>
                  <w:r>
                    <w:rPr>
                      <w:rFonts w:eastAsia="宋体"/>
                      <w:color w:val="auto"/>
                      <w:szCs w:val="21"/>
                      <w:lang w:val="en-US" w:eastAsia="zh-CN"/>
                    </w:rPr>
                    <w:t>声功率级/dB（A）</w:t>
                  </w:r>
                </w:p>
              </w:tc>
              <w:tc>
                <w:tcPr>
                  <w:tcW w:w="649" w:type="pct"/>
                  <w:vMerge w:val="continue"/>
                  <w:noWrap w:val="0"/>
                  <w:vAlign w:val="center"/>
                </w:tcPr>
                <w:p>
                  <w:pPr>
                    <w:pStyle w:val="38"/>
                    <w:rPr>
                      <w:rFonts w:eastAsia="宋体"/>
                      <w:color w:val="auto"/>
                      <w:szCs w:val="21"/>
                      <w:lang w:val="en-US" w:eastAsia="zh-CN"/>
                    </w:rPr>
                  </w:pPr>
                </w:p>
              </w:tc>
              <w:tc>
                <w:tcPr>
                  <w:tcW w:w="955" w:type="pct"/>
                  <w:noWrap w:val="0"/>
                  <w:vAlign w:val="center"/>
                </w:tcPr>
                <w:p>
                  <w:pPr>
                    <w:pStyle w:val="38"/>
                    <w:rPr>
                      <w:rFonts w:eastAsia="宋体"/>
                      <w:color w:val="auto"/>
                      <w:szCs w:val="21"/>
                      <w:lang w:val="en-US" w:eastAsia="zh-CN"/>
                    </w:rPr>
                  </w:pPr>
                  <w:r>
                    <w:rPr>
                      <w:rFonts w:eastAsia="宋体"/>
                      <w:color w:val="auto"/>
                      <w:szCs w:val="21"/>
                      <w:lang w:val="en-US" w:eastAsia="zh-CN"/>
                    </w:rPr>
                    <w:t>声功率级/dB（A）</w:t>
                  </w:r>
                </w:p>
              </w:tc>
              <w:tc>
                <w:tcPr>
                  <w:tcW w:w="651" w:type="pct"/>
                  <w:vMerge w:val="continue"/>
                  <w:noWrap w:val="0"/>
                  <w:vAlign w:val="center"/>
                </w:tcPr>
                <w:p>
                  <w:pPr>
                    <w:pStyle w:val="38"/>
                    <w:rPr>
                      <w:rFonts w:eastAsia="宋体"/>
                      <w:color w:val="auto"/>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3" w:hRule="atLeast"/>
                <w:jc w:val="center"/>
              </w:trPr>
              <w:tc>
                <w:tcPr>
                  <w:tcW w:w="381" w:type="pct"/>
                  <w:noWrap w:val="0"/>
                  <w:vAlign w:val="center"/>
                </w:tcPr>
                <w:p>
                  <w:pPr>
                    <w:pStyle w:val="38"/>
                    <w:rPr>
                      <w:rFonts w:eastAsia="宋体"/>
                      <w:color w:val="auto"/>
                      <w:szCs w:val="21"/>
                      <w:lang w:val="en-US" w:eastAsia="zh-CN"/>
                    </w:rPr>
                  </w:pPr>
                  <w:r>
                    <w:rPr>
                      <w:rFonts w:eastAsia="宋体"/>
                      <w:color w:val="auto"/>
                      <w:szCs w:val="21"/>
                      <w:lang w:val="en-US" w:eastAsia="zh-CN"/>
                    </w:rPr>
                    <w:t>1</w:t>
                  </w:r>
                </w:p>
              </w:tc>
              <w:tc>
                <w:tcPr>
                  <w:tcW w:w="628" w:type="pct"/>
                  <w:vMerge w:val="restart"/>
                  <w:noWrap w:val="0"/>
                  <w:vAlign w:val="center"/>
                </w:tcPr>
                <w:p>
                  <w:pPr>
                    <w:pStyle w:val="38"/>
                    <w:rPr>
                      <w:rFonts w:eastAsia="宋体"/>
                      <w:snapToGrid w:val="0"/>
                      <w:color w:val="auto"/>
                      <w:szCs w:val="21"/>
                      <w:lang w:val="en-US" w:eastAsia="zh-CN"/>
                    </w:rPr>
                  </w:pPr>
                  <w:r>
                    <w:rPr>
                      <w:rFonts w:eastAsia="宋体"/>
                      <w:color w:val="auto"/>
                      <w:szCs w:val="21"/>
                      <w:lang w:val="en-US" w:eastAsia="zh-CN"/>
                    </w:rPr>
                    <w:t>锅炉房</w:t>
                  </w:r>
                </w:p>
              </w:tc>
              <w:tc>
                <w:tcPr>
                  <w:tcW w:w="672" w:type="pct"/>
                  <w:noWrap w:val="0"/>
                  <w:vAlign w:val="center"/>
                </w:tcPr>
                <w:p>
                  <w:pPr>
                    <w:jc w:val="center"/>
                    <w:rPr>
                      <w:color w:val="auto"/>
                      <w:szCs w:val="21"/>
                    </w:rPr>
                  </w:pPr>
                  <w:r>
                    <w:rPr>
                      <w:color w:val="auto"/>
                      <w:szCs w:val="21"/>
                    </w:rPr>
                    <w:t>风机</w:t>
                  </w:r>
                </w:p>
              </w:tc>
              <w:tc>
                <w:tcPr>
                  <w:tcW w:w="1061" w:type="pct"/>
                  <w:noWrap w:val="0"/>
                  <w:vAlign w:val="center"/>
                </w:tcPr>
                <w:p>
                  <w:pPr>
                    <w:pStyle w:val="38"/>
                    <w:rPr>
                      <w:rFonts w:eastAsia="宋体"/>
                      <w:color w:val="auto"/>
                      <w:szCs w:val="21"/>
                      <w:lang w:val="en-US" w:eastAsia="zh-CN"/>
                    </w:rPr>
                  </w:pPr>
                  <w:r>
                    <w:rPr>
                      <w:rFonts w:eastAsia="宋体"/>
                      <w:color w:val="auto"/>
                      <w:szCs w:val="21"/>
                      <w:lang w:val="en-US" w:eastAsia="zh-CN"/>
                    </w:rPr>
                    <w:t>80</w:t>
                  </w:r>
                </w:p>
              </w:tc>
              <w:tc>
                <w:tcPr>
                  <w:tcW w:w="649" w:type="pct"/>
                  <w:vMerge w:val="restart"/>
                  <w:noWrap w:val="0"/>
                  <w:vAlign w:val="center"/>
                </w:tcPr>
                <w:p>
                  <w:pPr>
                    <w:pStyle w:val="38"/>
                    <w:rPr>
                      <w:rFonts w:eastAsia="宋体"/>
                      <w:color w:val="auto"/>
                      <w:szCs w:val="21"/>
                      <w:lang w:val="en-US" w:eastAsia="zh-CN"/>
                    </w:rPr>
                  </w:pPr>
                  <w:r>
                    <w:rPr>
                      <w:rFonts w:eastAsia="宋体"/>
                      <w:color w:val="auto"/>
                      <w:szCs w:val="21"/>
                      <w:lang w:val="en-US" w:eastAsia="zh-CN"/>
                    </w:rPr>
                    <w:t>采取减振、隔声等措施</w:t>
                  </w:r>
                </w:p>
              </w:tc>
              <w:tc>
                <w:tcPr>
                  <w:tcW w:w="955" w:type="pct"/>
                  <w:noWrap w:val="0"/>
                  <w:vAlign w:val="center"/>
                </w:tcPr>
                <w:p>
                  <w:pPr>
                    <w:pStyle w:val="38"/>
                    <w:rPr>
                      <w:rFonts w:eastAsia="宋体"/>
                      <w:color w:val="auto"/>
                      <w:szCs w:val="21"/>
                      <w:lang w:val="en-US" w:eastAsia="zh-CN"/>
                    </w:rPr>
                  </w:pPr>
                  <w:r>
                    <w:rPr>
                      <w:rFonts w:hint="eastAsia" w:eastAsia="宋体"/>
                      <w:color w:val="auto"/>
                      <w:szCs w:val="21"/>
                      <w:lang w:val="en-US" w:eastAsia="zh-CN"/>
                    </w:rPr>
                    <w:t>60</w:t>
                  </w:r>
                </w:p>
              </w:tc>
              <w:tc>
                <w:tcPr>
                  <w:tcW w:w="651" w:type="pct"/>
                  <w:vMerge w:val="restart"/>
                  <w:noWrap w:val="0"/>
                  <w:vAlign w:val="center"/>
                </w:tcPr>
                <w:p>
                  <w:pPr>
                    <w:pStyle w:val="38"/>
                    <w:rPr>
                      <w:rFonts w:eastAsia="宋体"/>
                      <w:color w:val="auto"/>
                      <w:szCs w:val="21"/>
                      <w:lang w:val="en-US" w:eastAsia="zh-CN"/>
                    </w:rPr>
                  </w:pPr>
                  <w:r>
                    <w:rPr>
                      <w:rFonts w:hint="eastAsia" w:eastAsia="宋体"/>
                      <w:color w:val="auto"/>
                      <w:szCs w:val="21"/>
                      <w:lang w:val="en-US" w:eastAsia="zh-CN"/>
                    </w:rPr>
                    <w:t>4320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75" w:hRule="atLeast"/>
                <w:jc w:val="center"/>
              </w:trPr>
              <w:tc>
                <w:tcPr>
                  <w:tcW w:w="381" w:type="pct"/>
                  <w:noWrap w:val="0"/>
                  <w:vAlign w:val="center"/>
                </w:tcPr>
                <w:p>
                  <w:pPr>
                    <w:pStyle w:val="38"/>
                    <w:rPr>
                      <w:rFonts w:eastAsia="宋体"/>
                      <w:color w:val="auto"/>
                      <w:szCs w:val="21"/>
                      <w:lang w:val="en-US" w:eastAsia="zh-CN"/>
                    </w:rPr>
                  </w:pPr>
                  <w:r>
                    <w:rPr>
                      <w:rFonts w:hint="eastAsia" w:eastAsia="宋体"/>
                      <w:color w:val="auto"/>
                      <w:szCs w:val="21"/>
                      <w:lang w:val="en-US" w:eastAsia="zh-CN"/>
                    </w:rPr>
                    <w:t>2</w:t>
                  </w:r>
                </w:p>
              </w:tc>
              <w:tc>
                <w:tcPr>
                  <w:tcW w:w="628" w:type="pct"/>
                  <w:vMerge w:val="continue"/>
                  <w:noWrap w:val="0"/>
                  <w:vAlign w:val="center"/>
                </w:tcPr>
                <w:p>
                  <w:pPr>
                    <w:pStyle w:val="38"/>
                    <w:rPr>
                      <w:rFonts w:eastAsia="宋体"/>
                      <w:color w:val="auto"/>
                      <w:szCs w:val="21"/>
                      <w:lang w:val="en-US" w:eastAsia="zh-CN"/>
                    </w:rPr>
                  </w:pPr>
                </w:p>
              </w:tc>
              <w:tc>
                <w:tcPr>
                  <w:tcW w:w="672" w:type="pct"/>
                  <w:noWrap w:val="0"/>
                  <w:vAlign w:val="center"/>
                </w:tcPr>
                <w:p>
                  <w:pPr>
                    <w:jc w:val="center"/>
                    <w:rPr>
                      <w:color w:val="auto"/>
                      <w:szCs w:val="21"/>
                    </w:rPr>
                  </w:pPr>
                  <w:r>
                    <w:rPr>
                      <w:rFonts w:hint="eastAsia"/>
                      <w:color w:val="auto"/>
                      <w:szCs w:val="21"/>
                    </w:rPr>
                    <w:t>除渣机</w:t>
                  </w:r>
                </w:p>
              </w:tc>
              <w:tc>
                <w:tcPr>
                  <w:tcW w:w="1061" w:type="pct"/>
                  <w:noWrap w:val="0"/>
                  <w:vAlign w:val="center"/>
                </w:tcPr>
                <w:p>
                  <w:pPr>
                    <w:pStyle w:val="38"/>
                    <w:rPr>
                      <w:rFonts w:eastAsia="宋体"/>
                      <w:color w:val="auto"/>
                      <w:szCs w:val="21"/>
                      <w:lang w:val="en-US" w:eastAsia="zh-CN"/>
                    </w:rPr>
                  </w:pPr>
                  <w:r>
                    <w:rPr>
                      <w:rFonts w:hint="eastAsia" w:eastAsia="宋体"/>
                      <w:color w:val="auto"/>
                      <w:szCs w:val="21"/>
                      <w:lang w:val="en-US" w:eastAsia="zh-CN"/>
                    </w:rPr>
                    <w:t>70</w:t>
                  </w:r>
                </w:p>
              </w:tc>
              <w:tc>
                <w:tcPr>
                  <w:tcW w:w="649" w:type="pct"/>
                  <w:vMerge w:val="continue"/>
                  <w:noWrap w:val="0"/>
                  <w:vAlign w:val="center"/>
                </w:tcPr>
                <w:p>
                  <w:pPr>
                    <w:pStyle w:val="38"/>
                    <w:rPr>
                      <w:rFonts w:eastAsia="宋体"/>
                      <w:color w:val="auto"/>
                      <w:szCs w:val="21"/>
                      <w:lang w:val="en-US" w:eastAsia="zh-CN"/>
                    </w:rPr>
                  </w:pPr>
                </w:p>
              </w:tc>
              <w:tc>
                <w:tcPr>
                  <w:tcW w:w="955" w:type="pct"/>
                  <w:noWrap w:val="0"/>
                  <w:vAlign w:val="center"/>
                </w:tcPr>
                <w:p>
                  <w:pPr>
                    <w:pStyle w:val="38"/>
                    <w:rPr>
                      <w:rFonts w:eastAsia="宋体"/>
                      <w:color w:val="auto"/>
                      <w:szCs w:val="21"/>
                      <w:lang w:val="en-US" w:eastAsia="zh-CN"/>
                    </w:rPr>
                  </w:pPr>
                  <w:r>
                    <w:rPr>
                      <w:rFonts w:hint="eastAsia" w:eastAsia="宋体"/>
                      <w:color w:val="auto"/>
                      <w:szCs w:val="21"/>
                      <w:lang w:val="en-US" w:eastAsia="zh-CN"/>
                    </w:rPr>
                    <w:t>50</w:t>
                  </w:r>
                </w:p>
              </w:tc>
              <w:tc>
                <w:tcPr>
                  <w:tcW w:w="651" w:type="pct"/>
                  <w:vMerge w:val="continue"/>
                  <w:noWrap w:val="0"/>
                  <w:vAlign w:val="center"/>
                </w:tcPr>
                <w:p>
                  <w:pPr>
                    <w:pStyle w:val="38"/>
                    <w:rPr>
                      <w:rFonts w:hint="eastAsia" w:eastAsia="宋体"/>
                      <w:color w:val="auto"/>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3" w:hRule="atLeast"/>
                <w:jc w:val="center"/>
              </w:trPr>
              <w:tc>
                <w:tcPr>
                  <w:tcW w:w="381" w:type="pct"/>
                  <w:noWrap w:val="0"/>
                  <w:vAlign w:val="center"/>
                </w:tcPr>
                <w:p>
                  <w:pPr>
                    <w:pStyle w:val="38"/>
                    <w:rPr>
                      <w:rFonts w:eastAsia="宋体"/>
                      <w:color w:val="auto"/>
                      <w:szCs w:val="21"/>
                      <w:lang w:val="en-US" w:eastAsia="zh-CN"/>
                    </w:rPr>
                  </w:pPr>
                  <w:r>
                    <w:rPr>
                      <w:rFonts w:hint="eastAsia" w:eastAsia="宋体"/>
                      <w:color w:val="auto"/>
                      <w:szCs w:val="21"/>
                      <w:lang w:val="en-US" w:eastAsia="zh-CN"/>
                    </w:rPr>
                    <w:t>3</w:t>
                  </w:r>
                </w:p>
              </w:tc>
              <w:tc>
                <w:tcPr>
                  <w:tcW w:w="628" w:type="pct"/>
                  <w:vMerge w:val="continue"/>
                  <w:noWrap w:val="0"/>
                  <w:vAlign w:val="center"/>
                </w:tcPr>
                <w:p>
                  <w:pPr>
                    <w:pStyle w:val="38"/>
                    <w:rPr>
                      <w:rFonts w:eastAsia="宋体"/>
                      <w:color w:val="auto"/>
                      <w:szCs w:val="21"/>
                      <w:lang w:val="en-US" w:eastAsia="zh-CN"/>
                    </w:rPr>
                  </w:pPr>
                </w:p>
              </w:tc>
              <w:tc>
                <w:tcPr>
                  <w:tcW w:w="672" w:type="pct"/>
                  <w:noWrap w:val="0"/>
                  <w:vAlign w:val="center"/>
                </w:tcPr>
                <w:p>
                  <w:pPr>
                    <w:jc w:val="center"/>
                    <w:rPr>
                      <w:rFonts w:hint="eastAsia"/>
                      <w:color w:val="auto"/>
                      <w:szCs w:val="21"/>
                    </w:rPr>
                  </w:pPr>
                  <w:r>
                    <w:rPr>
                      <w:rFonts w:hint="eastAsia"/>
                      <w:color w:val="auto"/>
                      <w:szCs w:val="21"/>
                    </w:rPr>
                    <w:t>上料机</w:t>
                  </w:r>
                </w:p>
              </w:tc>
              <w:tc>
                <w:tcPr>
                  <w:tcW w:w="1061" w:type="pct"/>
                  <w:noWrap w:val="0"/>
                  <w:vAlign w:val="center"/>
                </w:tcPr>
                <w:p>
                  <w:pPr>
                    <w:pStyle w:val="38"/>
                    <w:rPr>
                      <w:rFonts w:eastAsia="宋体"/>
                      <w:color w:val="auto"/>
                      <w:szCs w:val="21"/>
                      <w:lang w:val="en-US" w:eastAsia="zh-CN"/>
                    </w:rPr>
                  </w:pPr>
                  <w:r>
                    <w:rPr>
                      <w:rFonts w:hint="eastAsia" w:eastAsia="宋体"/>
                      <w:color w:val="auto"/>
                      <w:szCs w:val="21"/>
                      <w:lang w:val="en-US" w:eastAsia="zh-CN"/>
                    </w:rPr>
                    <w:t>70</w:t>
                  </w:r>
                </w:p>
              </w:tc>
              <w:tc>
                <w:tcPr>
                  <w:tcW w:w="649" w:type="pct"/>
                  <w:vMerge w:val="continue"/>
                  <w:noWrap w:val="0"/>
                  <w:vAlign w:val="center"/>
                </w:tcPr>
                <w:p>
                  <w:pPr>
                    <w:pStyle w:val="38"/>
                    <w:rPr>
                      <w:rFonts w:eastAsia="宋体"/>
                      <w:color w:val="auto"/>
                      <w:szCs w:val="21"/>
                      <w:lang w:val="en-US" w:eastAsia="zh-CN"/>
                    </w:rPr>
                  </w:pPr>
                </w:p>
              </w:tc>
              <w:tc>
                <w:tcPr>
                  <w:tcW w:w="955" w:type="pct"/>
                  <w:noWrap w:val="0"/>
                  <w:vAlign w:val="center"/>
                </w:tcPr>
                <w:p>
                  <w:pPr>
                    <w:pStyle w:val="38"/>
                    <w:rPr>
                      <w:rFonts w:eastAsia="宋体"/>
                      <w:color w:val="auto"/>
                      <w:szCs w:val="21"/>
                      <w:lang w:val="en-US" w:eastAsia="zh-CN"/>
                    </w:rPr>
                  </w:pPr>
                  <w:r>
                    <w:rPr>
                      <w:rFonts w:hint="eastAsia" w:eastAsia="宋体"/>
                      <w:color w:val="auto"/>
                      <w:szCs w:val="21"/>
                      <w:lang w:val="en-US" w:eastAsia="zh-CN"/>
                    </w:rPr>
                    <w:t>50</w:t>
                  </w:r>
                </w:p>
              </w:tc>
              <w:tc>
                <w:tcPr>
                  <w:tcW w:w="651" w:type="pct"/>
                  <w:vMerge w:val="continue"/>
                  <w:noWrap w:val="0"/>
                  <w:vAlign w:val="center"/>
                </w:tcPr>
                <w:p>
                  <w:pPr>
                    <w:pStyle w:val="38"/>
                    <w:rPr>
                      <w:rFonts w:hint="eastAsia" w:eastAsia="宋体"/>
                      <w:color w:val="auto"/>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381" w:type="pct"/>
                  <w:noWrap w:val="0"/>
                  <w:vAlign w:val="center"/>
                </w:tcPr>
                <w:p>
                  <w:pPr>
                    <w:pStyle w:val="38"/>
                    <w:rPr>
                      <w:rFonts w:eastAsia="宋体"/>
                      <w:color w:val="auto"/>
                      <w:szCs w:val="21"/>
                      <w:lang w:val="en-US" w:eastAsia="zh-CN"/>
                    </w:rPr>
                  </w:pPr>
                  <w:r>
                    <w:rPr>
                      <w:rFonts w:hint="eastAsia" w:eastAsia="宋体"/>
                      <w:color w:val="auto"/>
                      <w:szCs w:val="21"/>
                      <w:lang w:val="en-US" w:eastAsia="zh-CN"/>
                    </w:rPr>
                    <w:t>4</w:t>
                  </w:r>
                </w:p>
              </w:tc>
              <w:tc>
                <w:tcPr>
                  <w:tcW w:w="628" w:type="pct"/>
                  <w:vMerge w:val="continue"/>
                  <w:noWrap w:val="0"/>
                  <w:vAlign w:val="center"/>
                </w:tcPr>
                <w:p>
                  <w:pPr>
                    <w:pStyle w:val="38"/>
                    <w:rPr>
                      <w:rFonts w:eastAsia="宋体"/>
                      <w:snapToGrid w:val="0"/>
                      <w:color w:val="auto"/>
                      <w:szCs w:val="21"/>
                      <w:lang w:val="en-US" w:eastAsia="zh-CN"/>
                    </w:rPr>
                  </w:pPr>
                </w:p>
              </w:tc>
              <w:tc>
                <w:tcPr>
                  <w:tcW w:w="672" w:type="pct"/>
                  <w:noWrap w:val="0"/>
                  <w:vAlign w:val="center"/>
                </w:tcPr>
                <w:p>
                  <w:pPr>
                    <w:jc w:val="center"/>
                    <w:rPr>
                      <w:snapToGrid w:val="0"/>
                      <w:color w:val="auto"/>
                      <w:szCs w:val="21"/>
                    </w:rPr>
                  </w:pPr>
                  <w:r>
                    <w:rPr>
                      <w:color w:val="auto"/>
                      <w:szCs w:val="21"/>
                    </w:rPr>
                    <w:t>水泵</w:t>
                  </w:r>
                </w:p>
              </w:tc>
              <w:tc>
                <w:tcPr>
                  <w:tcW w:w="1061" w:type="pct"/>
                  <w:noWrap w:val="0"/>
                  <w:vAlign w:val="center"/>
                </w:tcPr>
                <w:p>
                  <w:pPr>
                    <w:pStyle w:val="38"/>
                    <w:rPr>
                      <w:rFonts w:eastAsia="宋体"/>
                      <w:color w:val="auto"/>
                      <w:szCs w:val="21"/>
                      <w:lang w:val="en-US" w:eastAsia="zh-CN"/>
                    </w:rPr>
                  </w:pPr>
                  <w:r>
                    <w:rPr>
                      <w:rFonts w:eastAsia="宋体"/>
                      <w:color w:val="auto"/>
                      <w:szCs w:val="21"/>
                      <w:lang w:val="en-US" w:eastAsia="zh-CN"/>
                    </w:rPr>
                    <w:t>80</w:t>
                  </w:r>
                </w:p>
              </w:tc>
              <w:tc>
                <w:tcPr>
                  <w:tcW w:w="649" w:type="pct"/>
                  <w:vMerge w:val="continue"/>
                  <w:noWrap w:val="0"/>
                  <w:vAlign w:val="center"/>
                </w:tcPr>
                <w:p>
                  <w:pPr>
                    <w:pStyle w:val="38"/>
                    <w:rPr>
                      <w:rFonts w:eastAsia="宋体"/>
                      <w:color w:val="auto"/>
                      <w:szCs w:val="21"/>
                      <w:lang w:val="en-US" w:eastAsia="zh-CN"/>
                    </w:rPr>
                  </w:pPr>
                </w:p>
              </w:tc>
              <w:tc>
                <w:tcPr>
                  <w:tcW w:w="955" w:type="pct"/>
                  <w:noWrap w:val="0"/>
                  <w:vAlign w:val="center"/>
                </w:tcPr>
                <w:p>
                  <w:pPr>
                    <w:pStyle w:val="38"/>
                    <w:rPr>
                      <w:rFonts w:eastAsia="宋体"/>
                      <w:color w:val="auto"/>
                      <w:szCs w:val="21"/>
                      <w:lang w:val="en-US" w:eastAsia="zh-CN"/>
                    </w:rPr>
                  </w:pPr>
                  <w:r>
                    <w:rPr>
                      <w:rFonts w:hint="eastAsia" w:eastAsia="宋体"/>
                      <w:color w:val="auto"/>
                      <w:szCs w:val="21"/>
                      <w:lang w:val="en-US" w:eastAsia="zh-CN"/>
                    </w:rPr>
                    <w:t>60</w:t>
                  </w:r>
                </w:p>
              </w:tc>
              <w:tc>
                <w:tcPr>
                  <w:tcW w:w="651" w:type="pct"/>
                  <w:vMerge w:val="continue"/>
                  <w:noWrap w:val="0"/>
                  <w:vAlign w:val="center"/>
                </w:tcPr>
                <w:p>
                  <w:pPr>
                    <w:pStyle w:val="38"/>
                    <w:rPr>
                      <w:rFonts w:eastAsia="宋体"/>
                      <w:color w:val="auto"/>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381" w:type="pct"/>
                  <w:noWrap w:val="0"/>
                  <w:vAlign w:val="center"/>
                </w:tcPr>
                <w:p>
                  <w:pPr>
                    <w:pStyle w:val="38"/>
                    <w:rPr>
                      <w:rFonts w:hint="eastAsia" w:eastAsia="宋体"/>
                      <w:color w:val="auto"/>
                      <w:szCs w:val="21"/>
                      <w:lang w:val="en-US" w:eastAsia="zh-CN"/>
                    </w:rPr>
                  </w:pPr>
                  <w:r>
                    <w:rPr>
                      <w:rFonts w:hint="eastAsia" w:eastAsia="宋体"/>
                      <w:color w:val="auto"/>
                      <w:szCs w:val="21"/>
                      <w:lang w:val="en-US" w:eastAsia="zh-CN"/>
                    </w:rPr>
                    <w:t>5</w:t>
                  </w:r>
                </w:p>
              </w:tc>
              <w:tc>
                <w:tcPr>
                  <w:tcW w:w="628" w:type="pct"/>
                  <w:vMerge w:val="continue"/>
                  <w:noWrap w:val="0"/>
                  <w:vAlign w:val="center"/>
                </w:tcPr>
                <w:p>
                  <w:pPr>
                    <w:pStyle w:val="38"/>
                    <w:rPr>
                      <w:rFonts w:eastAsia="宋体"/>
                      <w:snapToGrid w:val="0"/>
                      <w:color w:val="auto"/>
                      <w:szCs w:val="21"/>
                      <w:lang w:val="en-US" w:eastAsia="zh-CN"/>
                    </w:rPr>
                  </w:pPr>
                </w:p>
              </w:tc>
              <w:tc>
                <w:tcPr>
                  <w:tcW w:w="672" w:type="pct"/>
                  <w:noWrap w:val="0"/>
                  <w:vAlign w:val="center"/>
                </w:tcPr>
                <w:p>
                  <w:pPr>
                    <w:jc w:val="center"/>
                    <w:rPr>
                      <w:color w:val="auto"/>
                      <w:szCs w:val="21"/>
                    </w:rPr>
                  </w:pPr>
                  <w:r>
                    <w:rPr>
                      <w:color w:val="auto"/>
                      <w:kern w:val="0"/>
                      <w:szCs w:val="21"/>
                    </w:rPr>
                    <w:t>软化水制备装置</w:t>
                  </w:r>
                </w:p>
              </w:tc>
              <w:tc>
                <w:tcPr>
                  <w:tcW w:w="1061" w:type="pct"/>
                  <w:noWrap w:val="0"/>
                  <w:vAlign w:val="center"/>
                </w:tcPr>
                <w:p>
                  <w:pPr>
                    <w:pStyle w:val="38"/>
                    <w:rPr>
                      <w:rFonts w:eastAsia="宋体"/>
                      <w:color w:val="auto"/>
                      <w:szCs w:val="21"/>
                      <w:lang w:val="en-US" w:eastAsia="zh-CN"/>
                    </w:rPr>
                  </w:pPr>
                  <w:r>
                    <w:rPr>
                      <w:rFonts w:hint="eastAsia" w:eastAsia="宋体"/>
                      <w:color w:val="auto"/>
                      <w:szCs w:val="21"/>
                      <w:lang w:val="en-US" w:eastAsia="zh-CN"/>
                    </w:rPr>
                    <w:t>75</w:t>
                  </w:r>
                </w:p>
              </w:tc>
              <w:tc>
                <w:tcPr>
                  <w:tcW w:w="649" w:type="pct"/>
                  <w:vMerge w:val="continue"/>
                  <w:noWrap w:val="0"/>
                  <w:vAlign w:val="center"/>
                </w:tcPr>
                <w:p>
                  <w:pPr>
                    <w:pStyle w:val="38"/>
                    <w:rPr>
                      <w:rFonts w:eastAsia="宋体"/>
                      <w:color w:val="auto"/>
                      <w:szCs w:val="21"/>
                      <w:lang w:val="en-US" w:eastAsia="zh-CN"/>
                    </w:rPr>
                  </w:pPr>
                </w:p>
              </w:tc>
              <w:tc>
                <w:tcPr>
                  <w:tcW w:w="955" w:type="pct"/>
                  <w:noWrap w:val="0"/>
                  <w:vAlign w:val="center"/>
                </w:tcPr>
                <w:p>
                  <w:pPr>
                    <w:pStyle w:val="38"/>
                    <w:rPr>
                      <w:rFonts w:hint="eastAsia" w:eastAsia="宋体"/>
                      <w:color w:val="auto"/>
                      <w:szCs w:val="21"/>
                      <w:lang w:val="en-US" w:eastAsia="zh-CN"/>
                    </w:rPr>
                  </w:pPr>
                  <w:r>
                    <w:rPr>
                      <w:rFonts w:hint="eastAsia" w:eastAsia="宋体"/>
                      <w:color w:val="auto"/>
                      <w:szCs w:val="21"/>
                      <w:lang w:val="en-US" w:eastAsia="zh-CN"/>
                    </w:rPr>
                    <w:t>55</w:t>
                  </w:r>
                </w:p>
              </w:tc>
              <w:tc>
                <w:tcPr>
                  <w:tcW w:w="651" w:type="pct"/>
                  <w:vMerge w:val="continue"/>
                  <w:noWrap w:val="0"/>
                  <w:vAlign w:val="center"/>
                </w:tcPr>
                <w:p>
                  <w:pPr>
                    <w:pStyle w:val="38"/>
                    <w:rPr>
                      <w:rFonts w:eastAsia="宋体"/>
                      <w:color w:val="auto"/>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42" w:hRule="atLeast"/>
                <w:jc w:val="center"/>
              </w:trPr>
              <w:tc>
                <w:tcPr>
                  <w:tcW w:w="381" w:type="pct"/>
                  <w:noWrap w:val="0"/>
                  <w:vAlign w:val="center"/>
                </w:tcPr>
                <w:p>
                  <w:pPr>
                    <w:pStyle w:val="38"/>
                    <w:rPr>
                      <w:rFonts w:eastAsia="宋体"/>
                      <w:color w:val="auto"/>
                      <w:szCs w:val="21"/>
                      <w:lang w:val="en-US" w:eastAsia="zh-CN"/>
                    </w:rPr>
                  </w:pPr>
                  <w:r>
                    <w:rPr>
                      <w:rFonts w:hint="eastAsia" w:eastAsia="宋体"/>
                      <w:bCs/>
                      <w:color w:val="auto"/>
                      <w:szCs w:val="21"/>
                      <w:lang w:val="en-US" w:eastAsia="zh-CN"/>
                    </w:rPr>
                    <w:t>6</w:t>
                  </w:r>
                </w:p>
              </w:tc>
              <w:tc>
                <w:tcPr>
                  <w:tcW w:w="628" w:type="pct"/>
                  <w:vMerge w:val="continue"/>
                  <w:noWrap w:val="0"/>
                  <w:vAlign w:val="center"/>
                </w:tcPr>
                <w:p>
                  <w:pPr>
                    <w:pStyle w:val="38"/>
                    <w:rPr>
                      <w:rFonts w:eastAsia="宋体"/>
                      <w:snapToGrid w:val="0"/>
                      <w:color w:val="auto"/>
                      <w:szCs w:val="21"/>
                      <w:lang w:val="en-US" w:eastAsia="zh-CN"/>
                    </w:rPr>
                  </w:pPr>
                </w:p>
              </w:tc>
              <w:tc>
                <w:tcPr>
                  <w:tcW w:w="672" w:type="pct"/>
                  <w:noWrap w:val="0"/>
                  <w:vAlign w:val="center"/>
                </w:tcPr>
                <w:p>
                  <w:pPr>
                    <w:pStyle w:val="39"/>
                    <w:rPr>
                      <w:bCs/>
                      <w:color w:val="auto"/>
                      <w:sz w:val="21"/>
                      <w:szCs w:val="21"/>
                      <w:lang w:val="en-US" w:eastAsia="zh-CN"/>
                    </w:rPr>
                  </w:pPr>
                  <w:r>
                    <w:rPr>
                      <w:bCs/>
                      <w:color w:val="auto"/>
                      <w:sz w:val="21"/>
                      <w:szCs w:val="21"/>
                      <w:lang w:val="en-US" w:eastAsia="zh-CN"/>
                    </w:rPr>
                    <w:t>锅炉</w:t>
                  </w:r>
                </w:p>
              </w:tc>
              <w:tc>
                <w:tcPr>
                  <w:tcW w:w="1061" w:type="pct"/>
                  <w:noWrap w:val="0"/>
                  <w:vAlign w:val="center"/>
                </w:tcPr>
                <w:p>
                  <w:pPr>
                    <w:pStyle w:val="38"/>
                    <w:rPr>
                      <w:rFonts w:eastAsia="宋体"/>
                      <w:color w:val="auto"/>
                      <w:szCs w:val="21"/>
                      <w:lang w:val="en-US" w:eastAsia="zh-CN"/>
                    </w:rPr>
                  </w:pPr>
                  <w:r>
                    <w:rPr>
                      <w:rFonts w:eastAsia="宋体"/>
                      <w:color w:val="auto"/>
                      <w:szCs w:val="21"/>
                      <w:lang w:val="en-US" w:eastAsia="zh-CN"/>
                    </w:rPr>
                    <w:t>75</w:t>
                  </w:r>
                </w:p>
              </w:tc>
              <w:tc>
                <w:tcPr>
                  <w:tcW w:w="649" w:type="pct"/>
                  <w:vMerge w:val="continue"/>
                  <w:noWrap w:val="0"/>
                  <w:vAlign w:val="center"/>
                </w:tcPr>
                <w:p>
                  <w:pPr>
                    <w:pStyle w:val="38"/>
                    <w:rPr>
                      <w:rFonts w:eastAsia="宋体"/>
                      <w:color w:val="auto"/>
                      <w:szCs w:val="21"/>
                      <w:lang w:val="en-US" w:eastAsia="zh-CN"/>
                    </w:rPr>
                  </w:pPr>
                </w:p>
              </w:tc>
              <w:tc>
                <w:tcPr>
                  <w:tcW w:w="955" w:type="pct"/>
                  <w:noWrap w:val="0"/>
                  <w:vAlign w:val="center"/>
                </w:tcPr>
                <w:p>
                  <w:pPr>
                    <w:pStyle w:val="38"/>
                    <w:rPr>
                      <w:rFonts w:eastAsia="宋体"/>
                      <w:color w:val="auto"/>
                      <w:szCs w:val="21"/>
                      <w:lang w:val="en-US" w:eastAsia="zh-CN"/>
                    </w:rPr>
                  </w:pPr>
                  <w:r>
                    <w:rPr>
                      <w:rFonts w:hint="eastAsia" w:eastAsia="宋体"/>
                      <w:color w:val="auto"/>
                      <w:szCs w:val="21"/>
                      <w:lang w:val="en-US" w:eastAsia="zh-CN"/>
                    </w:rPr>
                    <w:t>55</w:t>
                  </w:r>
                </w:p>
              </w:tc>
              <w:tc>
                <w:tcPr>
                  <w:tcW w:w="651" w:type="pct"/>
                  <w:vMerge w:val="continue"/>
                  <w:noWrap w:val="0"/>
                  <w:vAlign w:val="center"/>
                </w:tcPr>
                <w:p>
                  <w:pPr>
                    <w:pStyle w:val="38"/>
                    <w:rPr>
                      <w:rFonts w:eastAsia="宋体"/>
                      <w:color w:val="auto"/>
                      <w:szCs w:val="21"/>
                      <w:lang w:val="en-US" w:eastAsia="zh-CN"/>
                    </w:rPr>
                  </w:pPr>
                </w:p>
              </w:tc>
            </w:tr>
          </w:tbl>
          <w:p>
            <w:pPr>
              <w:spacing w:line="360" w:lineRule="auto"/>
              <w:ind w:firstLine="482" w:firstLineChars="200"/>
              <w:contextualSpacing/>
              <w:rPr>
                <w:b/>
                <w:bCs/>
                <w:color w:val="auto"/>
                <w:sz w:val="24"/>
              </w:rPr>
            </w:pPr>
            <w:r>
              <w:rPr>
                <w:b/>
                <w:bCs/>
                <w:color w:val="auto"/>
                <w:sz w:val="24"/>
              </w:rPr>
              <w:t>2、监测计划</w:t>
            </w:r>
          </w:p>
          <w:p>
            <w:pPr>
              <w:spacing w:line="360" w:lineRule="auto"/>
              <w:ind w:firstLine="480" w:firstLineChars="200"/>
              <w:contextualSpacing/>
              <w:rPr>
                <w:b/>
                <w:color w:val="auto"/>
                <w:sz w:val="24"/>
              </w:rPr>
            </w:pPr>
            <w:r>
              <w:rPr>
                <w:color w:val="auto"/>
                <w:sz w:val="24"/>
              </w:rPr>
              <w:t>根据</w:t>
            </w:r>
            <w:r>
              <w:rPr>
                <w:color w:val="auto"/>
                <w:kern w:val="0"/>
                <w:sz w:val="24"/>
              </w:rPr>
              <w:t>《排污单位自行监测技术指南 火力发电及锅炉》（HJ820-2017）</w:t>
            </w:r>
            <w:r>
              <w:rPr>
                <w:color w:val="auto"/>
                <w:sz w:val="24"/>
              </w:rPr>
              <w:t>制定本项目噪声监测计划如下。</w:t>
            </w:r>
          </w:p>
          <w:p>
            <w:pPr>
              <w:spacing w:line="360" w:lineRule="auto"/>
              <w:contextualSpacing/>
              <w:jc w:val="center"/>
              <w:rPr>
                <w:b/>
                <w:color w:val="auto"/>
                <w:sz w:val="24"/>
              </w:rPr>
            </w:pPr>
            <w:r>
              <w:rPr>
                <w:b/>
                <w:color w:val="auto"/>
                <w:sz w:val="24"/>
              </w:rPr>
              <w:t>表4-</w:t>
            </w:r>
            <w:r>
              <w:rPr>
                <w:rFonts w:hint="eastAsia"/>
                <w:b/>
                <w:color w:val="auto"/>
                <w:sz w:val="24"/>
              </w:rPr>
              <w:t>7</w:t>
            </w:r>
            <w:r>
              <w:rPr>
                <w:b/>
                <w:color w:val="auto"/>
                <w:sz w:val="24"/>
              </w:rPr>
              <w:t>噪声监测计划表</w:t>
            </w:r>
          </w:p>
          <w:tbl>
            <w:tblPr>
              <w:tblStyle w:val="15"/>
              <w:tblW w:w="483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1711"/>
              <w:gridCol w:w="2279"/>
              <w:gridCol w:w="198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99" w:type="pct"/>
                  <w:noWrap w:val="0"/>
                  <w:vAlign w:val="center"/>
                </w:tcPr>
                <w:p>
                  <w:pPr>
                    <w:contextualSpacing/>
                    <w:jc w:val="center"/>
                    <w:rPr>
                      <w:color w:val="auto"/>
                      <w:kern w:val="0"/>
                      <w:szCs w:val="21"/>
                    </w:rPr>
                  </w:pPr>
                  <w:r>
                    <w:rPr>
                      <w:color w:val="auto"/>
                      <w:kern w:val="0"/>
                      <w:szCs w:val="21"/>
                    </w:rPr>
                    <w:t>类别</w:t>
                  </w:r>
                </w:p>
              </w:tc>
              <w:tc>
                <w:tcPr>
                  <w:tcW w:w="1116" w:type="pct"/>
                  <w:noWrap w:val="0"/>
                  <w:vAlign w:val="center"/>
                </w:tcPr>
                <w:p>
                  <w:pPr>
                    <w:contextualSpacing/>
                    <w:jc w:val="center"/>
                    <w:rPr>
                      <w:color w:val="auto"/>
                      <w:kern w:val="0"/>
                      <w:szCs w:val="21"/>
                    </w:rPr>
                  </w:pPr>
                  <w:r>
                    <w:rPr>
                      <w:color w:val="auto"/>
                      <w:kern w:val="0"/>
                      <w:szCs w:val="21"/>
                    </w:rPr>
                    <w:t>监测点位</w:t>
                  </w:r>
                </w:p>
              </w:tc>
              <w:tc>
                <w:tcPr>
                  <w:tcW w:w="1487" w:type="pct"/>
                  <w:noWrap w:val="0"/>
                  <w:vAlign w:val="center"/>
                </w:tcPr>
                <w:p>
                  <w:pPr>
                    <w:contextualSpacing/>
                    <w:jc w:val="center"/>
                    <w:rPr>
                      <w:color w:val="auto"/>
                      <w:kern w:val="0"/>
                      <w:szCs w:val="21"/>
                    </w:rPr>
                  </w:pPr>
                  <w:r>
                    <w:rPr>
                      <w:color w:val="auto"/>
                      <w:kern w:val="0"/>
                      <w:szCs w:val="21"/>
                    </w:rPr>
                    <w:t>监测项目</w:t>
                  </w:r>
                </w:p>
              </w:tc>
              <w:tc>
                <w:tcPr>
                  <w:tcW w:w="1297" w:type="pct"/>
                  <w:noWrap w:val="0"/>
                  <w:vAlign w:val="center"/>
                </w:tcPr>
                <w:p>
                  <w:pPr>
                    <w:contextualSpacing/>
                    <w:jc w:val="center"/>
                    <w:rPr>
                      <w:color w:val="auto"/>
                      <w:kern w:val="0"/>
                      <w:szCs w:val="21"/>
                    </w:rPr>
                  </w:pPr>
                  <w:r>
                    <w:rPr>
                      <w:color w:val="auto"/>
                      <w:kern w:val="0"/>
                      <w:szCs w:val="21"/>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99" w:type="pct"/>
                  <w:noWrap w:val="0"/>
                  <w:vAlign w:val="center"/>
                </w:tcPr>
                <w:p>
                  <w:pPr>
                    <w:contextualSpacing/>
                    <w:jc w:val="center"/>
                    <w:rPr>
                      <w:color w:val="auto"/>
                      <w:kern w:val="0"/>
                      <w:szCs w:val="21"/>
                    </w:rPr>
                  </w:pPr>
                  <w:r>
                    <w:rPr>
                      <w:color w:val="auto"/>
                      <w:kern w:val="0"/>
                      <w:szCs w:val="21"/>
                    </w:rPr>
                    <w:t>厂界噪声</w:t>
                  </w:r>
                </w:p>
              </w:tc>
              <w:tc>
                <w:tcPr>
                  <w:tcW w:w="1116" w:type="pct"/>
                  <w:noWrap w:val="0"/>
                  <w:vAlign w:val="center"/>
                </w:tcPr>
                <w:p>
                  <w:pPr>
                    <w:contextualSpacing/>
                    <w:jc w:val="center"/>
                    <w:rPr>
                      <w:color w:val="auto"/>
                      <w:kern w:val="0"/>
                      <w:szCs w:val="21"/>
                    </w:rPr>
                  </w:pPr>
                  <w:r>
                    <w:rPr>
                      <w:color w:val="auto"/>
                      <w:kern w:val="0"/>
                      <w:szCs w:val="21"/>
                    </w:rPr>
                    <w:t>厂界四周</w:t>
                  </w:r>
                </w:p>
              </w:tc>
              <w:tc>
                <w:tcPr>
                  <w:tcW w:w="1487" w:type="pct"/>
                  <w:noWrap w:val="0"/>
                  <w:vAlign w:val="center"/>
                </w:tcPr>
                <w:p>
                  <w:pPr>
                    <w:contextualSpacing/>
                    <w:jc w:val="center"/>
                    <w:rPr>
                      <w:color w:val="auto"/>
                      <w:kern w:val="0"/>
                      <w:szCs w:val="21"/>
                    </w:rPr>
                  </w:pPr>
                  <w:r>
                    <w:rPr>
                      <w:color w:val="auto"/>
                      <w:kern w:val="0"/>
                      <w:szCs w:val="21"/>
                    </w:rPr>
                    <w:t>等效连续A声级</w:t>
                  </w:r>
                </w:p>
              </w:tc>
              <w:tc>
                <w:tcPr>
                  <w:tcW w:w="1297" w:type="pct"/>
                  <w:noWrap w:val="0"/>
                  <w:vAlign w:val="center"/>
                </w:tcPr>
                <w:p>
                  <w:pPr>
                    <w:contextualSpacing/>
                    <w:jc w:val="center"/>
                    <w:rPr>
                      <w:color w:val="auto"/>
                      <w:kern w:val="0"/>
                      <w:szCs w:val="21"/>
                    </w:rPr>
                  </w:pPr>
                  <w:r>
                    <w:rPr>
                      <w:color w:val="auto"/>
                      <w:kern w:val="0"/>
                      <w:szCs w:val="21"/>
                    </w:rPr>
                    <w:t>1次/季度</w:t>
                  </w:r>
                </w:p>
              </w:tc>
            </w:tr>
          </w:tbl>
          <w:p>
            <w:pPr>
              <w:spacing w:line="360" w:lineRule="auto"/>
              <w:ind w:firstLine="482" w:firstLineChars="200"/>
              <w:contextualSpacing/>
              <w:rPr>
                <w:b/>
                <w:bCs/>
                <w:color w:val="auto"/>
                <w:sz w:val="24"/>
              </w:rPr>
            </w:pPr>
            <w:r>
              <w:rPr>
                <w:b/>
                <w:bCs/>
                <w:color w:val="auto"/>
                <w:sz w:val="24"/>
              </w:rPr>
              <w:t>3、噪声影响分析</w:t>
            </w:r>
          </w:p>
          <w:p>
            <w:pPr>
              <w:spacing w:line="360" w:lineRule="auto"/>
              <w:ind w:firstLine="480" w:firstLineChars="200"/>
              <w:rPr>
                <w:color w:val="auto"/>
                <w:sz w:val="24"/>
              </w:rPr>
            </w:pPr>
            <w:r>
              <w:rPr>
                <w:color w:val="auto"/>
                <w:sz w:val="24"/>
              </w:rPr>
              <w:t>预测模式选用《环境影响评价技术导则—声环境》（HJ2.4-2021）推荐的模式，其数学表达式如下：</w:t>
            </w:r>
          </w:p>
          <w:p>
            <w:pPr>
              <w:spacing w:line="360" w:lineRule="auto"/>
              <w:ind w:firstLine="480" w:firstLineChars="200"/>
              <w:rPr>
                <w:color w:val="auto"/>
                <w:sz w:val="24"/>
              </w:rPr>
            </w:pPr>
            <w:r>
              <w:rPr>
                <w:color w:val="auto"/>
                <w:sz w:val="24"/>
              </w:rPr>
              <w:t>（1）由建设项目自身声源在预测点产生的声级计算公式：</w:t>
            </w:r>
          </w:p>
          <w:p>
            <w:pPr>
              <w:spacing w:line="360" w:lineRule="auto"/>
              <w:jc w:val="center"/>
              <w:rPr>
                <w:color w:val="auto"/>
                <w:sz w:val="24"/>
              </w:rPr>
            </w:pPr>
            <w:r>
              <w:rPr>
                <w:color w:val="auto"/>
                <w:sz w:val="24"/>
              </w:rPr>
              <w:drawing>
                <wp:inline distT="0" distB="0" distL="114300" distR="114300">
                  <wp:extent cx="1837055" cy="465455"/>
                  <wp:effectExtent l="0" t="0" r="0" b="6350"/>
                  <wp:docPr id="14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7"/>
                          <pic:cNvPicPr>
                            <a:picLocks noChangeAspect="1"/>
                          </pic:cNvPicPr>
                        </pic:nvPicPr>
                        <pic:blipFill>
                          <a:blip r:embed="rId20"/>
                          <a:stretch>
                            <a:fillRect/>
                          </a:stretch>
                        </pic:blipFill>
                        <pic:spPr>
                          <a:xfrm>
                            <a:off x="0" y="0"/>
                            <a:ext cx="1837055" cy="465455"/>
                          </a:xfrm>
                          <a:prstGeom prst="rect">
                            <a:avLst/>
                          </a:prstGeom>
                          <a:noFill/>
                          <a:ln>
                            <a:noFill/>
                          </a:ln>
                        </pic:spPr>
                      </pic:pic>
                    </a:graphicData>
                  </a:graphic>
                </wp:inline>
              </w:drawing>
            </w:r>
          </w:p>
          <w:p>
            <w:pPr>
              <w:spacing w:line="360" w:lineRule="auto"/>
              <w:ind w:firstLine="480" w:firstLineChars="200"/>
              <w:rPr>
                <w:color w:val="auto"/>
                <w:sz w:val="24"/>
              </w:rPr>
            </w:pPr>
            <w:r>
              <w:rPr>
                <w:color w:val="auto"/>
                <w:sz w:val="24"/>
              </w:rPr>
              <w:t>式中：L</w:t>
            </w:r>
            <w:r>
              <w:rPr>
                <w:color w:val="auto"/>
                <w:sz w:val="24"/>
                <w:vertAlign w:val="subscript"/>
              </w:rPr>
              <w:t>eqg</w:t>
            </w:r>
            <w:r>
              <w:rPr>
                <w:color w:val="auto"/>
                <w:sz w:val="24"/>
              </w:rPr>
              <w:t>——噪声贡献值，dB；</w:t>
            </w:r>
          </w:p>
          <w:p>
            <w:pPr>
              <w:spacing w:line="360" w:lineRule="auto"/>
              <w:ind w:firstLine="1200" w:firstLineChars="500"/>
              <w:rPr>
                <w:color w:val="auto"/>
                <w:sz w:val="24"/>
              </w:rPr>
            </w:pPr>
            <w:r>
              <w:rPr>
                <w:color w:val="auto"/>
                <w:sz w:val="24"/>
              </w:rPr>
              <w:t>T——预测计算的时间段，s；</w:t>
            </w:r>
          </w:p>
          <w:p>
            <w:pPr>
              <w:spacing w:line="360" w:lineRule="auto"/>
              <w:ind w:firstLine="1200" w:firstLineChars="500"/>
              <w:rPr>
                <w:color w:val="auto"/>
                <w:sz w:val="24"/>
              </w:rPr>
            </w:pPr>
            <w:r>
              <w:rPr>
                <w:color w:val="auto"/>
                <w:sz w:val="24"/>
              </w:rPr>
              <w:t>t</w:t>
            </w:r>
            <w:r>
              <w:rPr>
                <w:color w:val="auto"/>
                <w:sz w:val="24"/>
                <w:vertAlign w:val="subscript"/>
              </w:rPr>
              <w:t>i</w:t>
            </w:r>
            <w:r>
              <w:rPr>
                <w:color w:val="auto"/>
                <w:sz w:val="24"/>
              </w:rPr>
              <w:t>——i声源在T时段内的运行时间，s；</w:t>
            </w:r>
          </w:p>
          <w:p>
            <w:pPr>
              <w:spacing w:line="360" w:lineRule="auto"/>
              <w:ind w:firstLine="1200" w:firstLineChars="500"/>
              <w:rPr>
                <w:color w:val="auto"/>
                <w:sz w:val="24"/>
              </w:rPr>
            </w:pPr>
            <w:r>
              <w:rPr>
                <w:color w:val="auto"/>
                <w:sz w:val="24"/>
              </w:rPr>
              <w:t>L</w:t>
            </w:r>
            <w:r>
              <w:rPr>
                <w:color w:val="auto"/>
                <w:sz w:val="24"/>
                <w:vertAlign w:val="subscript"/>
              </w:rPr>
              <w:t>Ai</w:t>
            </w:r>
            <w:r>
              <w:rPr>
                <w:color w:val="auto"/>
                <w:sz w:val="24"/>
              </w:rPr>
              <w:t>——i声源在预测点产生的等效连续A声级，dB。</w:t>
            </w:r>
          </w:p>
          <w:p>
            <w:pPr>
              <w:spacing w:line="360" w:lineRule="auto"/>
              <w:ind w:firstLine="480" w:firstLineChars="200"/>
              <w:rPr>
                <w:color w:val="auto"/>
                <w:sz w:val="24"/>
              </w:rPr>
            </w:pPr>
            <w:r>
              <w:rPr>
                <w:color w:val="auto"/>
                <w:sz w:val="24"/>
              </w:rPr>
              <w:t>（2）预测点的贡献值和背景值按能量叠加方法计算得到的声级计算公式：</w:t>
            </w:r>
          </w:p>
          <w:p>
            <w:pPr>
              <w:spacing w:line="360" w:lineRule="auto"/>
              <w:ind w:firstLine="480" w:firstLineChars="200"/>
              <w:jc w:val="center"/>
              <w:rPr>
                <w:color w:val="auto"/>
                <w:sz w:val="24"/>
              </w:rPr>
            </w:pPr>
            <w:r>
              <w:rPr>
                <w:color w:val="auto"/>
                <w:sz w:val="24"/>
              </w:rPr>
              <w:drawing>
                <wp:inline distT="0" distB="0" distL="114300" distR="114300">
                  <wp:extent cx="2088515" cy="284480"/>
                  <wp:effectExtent l="0" t="0" r="0" b="4445"/>
                  <wp:docPr id="14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8"/>
                          <pic:cNvPicPr>
                            <a:picLocks noChangeAspect="1"/>
                          </pic:cNvPicPr>
                        </pic:nvPicPr>
                        <pic:blipFill>
                          <a:blip r:embed="rId21"/>
                          <a:stretch>
                            <a:fillRect/>
                          </a:stretch>
                        </pic:blipFill>
                        <pic:spPr>
                          <a:xfrm>
                            <a:off x="0" y="0"/>
                            <a:ext cx="2088515" cy="284480"/>
                          </a:xfrm>
                          <a:prstGeom prst="rect">
                            <a:avLst/>
                          </a:prstGeom>
                          <a:noFill/>
                          <a:ln>
                            <a:noFill/>
                          </a:ln>
                        </pic:spPr>
                      </pic:pic>
                    </a:graphicData>
                  </a:graphic>
                </wp:inline>
              </w:drawing>
            </w:r>
          </w:p>
          <w:p>
            <w:pPr>
              <w:spacing w:line="360" w:lineRule="auto"/>
              <w:ind w:firstLine="480" w:firstLineChars="200"/>
              <w:rPr>
                <w:color w:val="auto"/>
                <w:sz w:val="24"/>
              </w:rPr>
            </w:pPr>
            <w:r>
              <w:rPr>
                <w:color w:val="auto"/>
                <w:sz w:val="24"/>
              </w:rPr>
              <w:t>式中：L</w:t>
            </w:r>
            <w:r>
              <w:rPr>
                <w:color w:val="auto"/>
                <w:sz w:val="24"/>
                <w:vertAlign w:val="subscript"/>
              </w:rPr>
              <w:t>eq</w:t>
            </w:r>
            <w:r>
              <w:rPr>
                <w:color w:val="auto"/>
                <w:sz w:val="24"/>
              </w:rPr>
              <w:t>——预测点的噪声预测值，dB；</w:t>
            </w:r>
          </w:p>
          <w:p>
            <w:pPr>
              <w:spacing w:line="360" w:lineRule="auto"/>
              <w:ind w:firstLine="1200" w:firstLineChars="500"/>
              <w:rPr>
                <w:color w:val="auto"/>
                <w:sz w:val="24"/>
              </w:rPr>
            </w:pPr>
            <w:r>
              <w:rPr>
                <w:color w:val="auto"/>
                <w:sz w:val="24"/>
              </w:rPr>
              <w:t>L</w:t>
            </w:r>
            <w:r>
              <w:rPr>
                <w:color w:val="auto"/>
                <w:sz w:val="24"/>
                <w:vertAlign w:val="subscript"/>
              </w:rPr>
              <w:t>eqg</w:t>
            </w:r>
            <w:r>
              <w:rPr>
                <w:color w:val="auto"/>
                <w:sz w:val="24"/>
              </w:rPr>
              <w:t>——建设项目声源在预测点产生的噪声贡献值，dB。</w:t>
            </w:r>
          </w:p>
          <w:p>
            <w:pPr>
              <w:spacing w:line="360" w:lineRule="auto"/>
              <w:ind w:firstLine="1200" w:firstLineChars="500"/>
              <w:rPr>
                <w:color w:val="auto"/>
                <w:sz w:val="24"/>
              </w:rPr>
            </w:pPr>
            <w:r>
              <w:rPr>
                <w:color w:val="auto"/>
                <w:sz w:val="24"/>
              </w:rPr>
              <w:t>L</w:t>
            </w:r>
            <w:r>
              <w:rPr>
                <w:color w:val="auto"/>
                <w:sz w:val="24"/>
                <w:vertAlign w:val="subscript"/>
              </w:rPr>
              <w:t>eqb</w:t>
            </w:r>
            <w:r>
              <w:rPr>
                <w:color w:val="auto"/>
                <w:sz w:val="24"/>
              </w:rPr>
              <w:t>——预测点的背景噪声值，dB。</w:t>
            </w:r>
          </w:p>
          <w:p>
            <w:pPr>
              <w:spacing w:line="360" w:lineRule="auto"/>
              <w:ind w:firstLine="480" w:firstLineChars="200"/>
              <w:rPr>
                <w:color w:val="auto"/>
                <w:sz w:val="24"/>
              </w:rPr>
            </w:pPr>
            <w:r>
              <w:rPr>
                <w:color w:val="auto"/>
                <w:sz w:val="24"/>
              </w:rPr>
              <w:t>（3）室内声源等效室外声源功率级计算</w:t>
            </w:r>
          </w:p>
          <w:p>
            <w:pPr>
              <w:spacing w:line="360" w:lineRule="auto"/>
              <w:jc w:val="center"/>
              <w:rPr>
                <w:color w:val="auto"/>
                <w:sz w:val="24"/>
              </w:rPr>
            </w:pPr>
            <w:r>
              <w:rPr>
                <w:color w:val="auto"/>
              </w:rPr>
              <w:fldChar w:fldCharType="begin"/>
            </w:r>
            <w:r>
              <w:rPr>
                <w:color w:val="auto"/>
              </w:rPr>
              <w:instrText xml:space="preserve"> INCLUDEPICTURE "C:\\Users\\ADMINI~1\\AppData\\Local\\Temp\\ksohtml7248\\wps1.jpg" \* MERGEFORMATINET </w:instrText>
            </w:r>
            <w:r>
              <w:rPr>
                <w:color w:val="auto"/>
              </w:rPr>
              <w:fldChar w:fldCharType="separate"/>
            </w:r>
            <w:r>
              <w:rPr>
                <w:color w:val="auto"/>
              </w:rPr>
              <w:drawing>
                <wp:inline distT="0" distB="0" distL="114300" distR="114300">
                  <wp:extent cx="2485390" cy="608965"/>
                  <wp:effectExtent l="0" t="0" r="13970" b="635"/>
                  <wp:docPr id="145" name="图片 19"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9" descr="wps1"/>
                          <pic:cNvPicPr>
                            <a:picLocks noChangeAspect="1"/>
                          </pic:cNvPicPr>
                        </pic:nvPicPr>
                        <pic:blipFill>
                          <a:blip r:embed="rId22"/>
                          <a:stretch>
                            <a:fillRect/>
                          </a:stretch>
                        </pic:blipFill>
                        <pic:spPr>
                          <a:xfrm>
                            <a:off x="0" y="0"/>
                            <a:ext cx="2485390" cy="608965"/>
                          </a:xfrm>
                          <a:prstGeom prst="rect">
                            <a:avLst/>
                          </a:prstGeom>
                          <a:noFill/>
                          <a:ln>
                            <a:noFill/>
                          </a:ln>
                        </pic:spPr>
                      </pic:pic>
                    </a:graphicData>
                  </a:graphic>
                </wp:inline>
              </w:drawing>
            </w:r>
            <w:r>
              <w:rPr>
                <w:color w:val="auto"/>
              </w:rPr>
              <w:fldChar w:fldCharType="end"/>
            </w:r>
          </w:p>
          <w:p>
            <w:pPr>
              <w:spacing w:line="360" w:lineRule="auto"/>
              <w:ind w:firstLine="480" w:firstLineChars="200"/>
              <w:rPr>
                <w:color w:val="auto"/>
                <w:sz w:val="24"/>
              </w:rPr>
            </w:pPr>
            <w:r>
              <w:rPr>
                <w:color w:val="auto"/>
                <w:sz w:val="24"/>
              </w:rPr>
              <w:t>式中：L</w:t>
            </w:r>
            <w:r>
              <w:rPr>
                <w:color w:val="auto"/>
                <w:sz w:val="24"/>
                <w:vertAlign w:val="subscript"/>
              </w:rPr>
              <w:t>p1</w:t>
            </w:r>
            <w:r>
              <w:rPr>
                <w:color w:val="auto"/>
                <w:sz w:val="24"/>
              </w:rPr>
              <w:t>—靠近开口处（或窗户）室内某倍频带的声压级或A声级，dB；</w:t>
            </w:r>
          </w:p>
          <w:p>
            <w:pPr>
              <w:spacing w:line="360" w:lineRule="auto"/>
              <w:ind w:firstLine="1200" w:firstLineChars="500"/>
              <w:rPr>
                <w:color w:val="auto"/>
                <w:sz w:val="24"/>
              </w:rPr>
            </w:pPr>
            <w:r>
              <w:rPr>
                <w:color w:val="auto"/>
                <w:sz w:val="24"/>
              </w:rPr>
              <w:t>L</w:t>
            </w:r>
            <w:r>
              <w:rPr>
                <w:color w:val="auto"/>
                <w:sz w:val="24"/>
                <w:vertAlign w:val="subscript"/>
              </w:rPr>
              <w:t>w</w:t>
            </w:r>
            <w:r>
              <w:rPr>
                <w:color w:val="auto"/>
                <w:sz w:val="24"/>
              </w:rPr>
              <w:t>——点声源声功率级（A计权或倍频带），dB；</w:t>
            </w:r>
          </w:p>
          <w:p>
            <w:pPr>
              <w:spacing w:line="360" w:lineRule="auto"/>
              <w:ind w:firstLine="1200" w:firstLineChars="500"/>
              <w:rPr>
                <w:color w:val="auto"/>
                <w:sz w:val="24"/>
              </w:rPr>
            </w:pPr>
            <w:r>
              <w:rPr>
                <w:color w:val="auto"/>
                <w:sz w:val="24"/>
              </w:rPr>
              <w:t>Q——指向性因数；通常对无指向性声源，当声源放在房间中心时，Q=1；当放在一面墙的中心时，Q=2；当放在两面墙夹角处时，Q=4；当放在三面墙夹角处时，Q=8；本次Q值取2；</w:t>
            </w:r>
          </w:p>
          <w:p>
            <w:pPr>
              <w:spacing w:line="360" w:lineRule="auto"/>
              <w:ind w:firstLine="1200" w:firstLineChars="500"/>
              <w:rPr>
                <w:color w:val="auto"/>
                <w:sz w:val="24"/>
              </w:rPr>
            </w:pPr>
            <w:r>
              <w:rPr>
                <w:color w:val="auto"/>
                <w:sz w:val="24"/>
              </w:rPr>
              <w:t>R—房间常数：R=Sα/（1-α），S为房间内表面面积，m</w:t>
            </w:r>
            <w:r>
              <w:rPr>
                <w:color w:val="auto"/>
                <w:sz w:val="24"/>
                <w:vertAlign w:val="superscript"/>
              </w:rPr>
              <w:t>2</w:t>
            </w:r>
            <w:r>
              <w:rPr>
                <w:color w:val="auto"/>
                <w:sz w:val="24"/>
              </w:rPr>
              <w:t>；α为平均吸声系数；</w:t>
            </w:r>
          </w:p>
          <w:p>
            <w:pPr>
              <w:spacing w:line="360" w:lineRule="auto"/>
              <w:ind w:firstLine="1200" w:firstLineChars="500"/>
              <w:rPr>
                <w:color w:val="auto"/>
                <w:sz w:val="24"/>
              </w:rPr>
            </w:pPr>
            <w:r>
              <w:rPr>
                <w:color w:val="auto"/>
                <w:sz w:val="24"/>
              </w:rPr>
              <w:t>r—声源到靠近围护结构某点处的距离，m。</w:t>
            </w:r>
          </w:p>
          <w:p>
            <w:pPr>
              <w:spacing w:line="360" w:lineRule="auto"/>
              <w:ind w:firstLine="480" w:firstLineChars="200"/>
              <w:rPr>
                <w:color w:val="auto"/>
                <w:sz w:val="24"/>
              </w:rPr>
            </w:pPr>
            <w:r>
              <w:rPr>
                <w:color w:val="auto"/>
                <w:sz w:val="24"/>
              </w:rPr>
              <w:t>然后计算出所有室内声源在围护结构处产生的i倍频带叠加声压级：</w:t>
            </w:r>
          </w:p>
          <w:p>
            <w:pPr>
              <w:spacing w:line="360" w:lineRule="auto"/>
              <w:ind w:firstLine="420" w:firstLineChars="200"/>
              <w:jc w:val="center"/>
              <w:rPr>
                <w:color w:val="auto"/>
                <w:sz w:val="24"/>
              </w:rPr>
            </w:pPr>
            <w:r>
              <w:rPr>
                <w:color w:val="auto"/>
              </w:rPr>
              <w:fldChar w:fldCharType="begin"/>
            </w:r>
            <w:r>
              <w:rPr>
                <w:color w:val="auto"/>
              </w:rPr>
              <w:instrText xml:space="preserve"> INCLUDEPICTURE "C:\\Users\\ADMINI~1\\AppData\\Local\\Temp\\ksohtml7248\\wps2.jpg" \* MERGEFORMATINET </w:instrText>
            </w:r>
            <w:r>
              <w:rPr>
                <w:color w:val="auto"/>
              </w:rPr>
              <w:fldChar w:fldCharType="separate"/>
            </w:r>
            <w:r>
              <w:rPr>
                <w:color w:val="auto"/>
              </w:rPr>
              <w:drawing>
                <wp:inline distT="0" distB="0" distL="114300" distR="114300">
                  <wp:extent cx="2666365" cy="608965"/>
                  <wp:effectExtent l="0" t="0" r="635" b="635"/>
                  <wp:docPr id="146" name="图片 20"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20" descr="wps2"/>
                          <pic:cNvPicPr>
                            <a:picLocks noChangeAspect="1"/>
                          </pic:cNvPicPr>
                        </pic:nvPicPr>
                        <pic:blipFill>
                          <a:blip r:embed="rId23"/>
                          <a:stretch>
                            <a:fillRect/>
                          </a:stretch>
                        </pic:blipFill>
                        <pic:spPr>
                          <a:xfrm>
                            <a:off x="0" y="0"/>
                            <a:ext cx="2666365" cy="608965"/>
                          </a:xfrm>
                          <a:prstGeom prst="rect">
                            <a:avLst/>
                          </a:prstGeom>
                          <a:noFill/>
                          <a:ln>
                            <a:noFill/>
                          </a:ln>
                        </pic:spPr>
                      </pic:pic>
                    </a:graphicData>
                  </a:graphic>
                </wp:inline>
              </w:drawing>
            </w:r>
            <w:r>
              <w:rPr>
                <w:color w:val="auto"/>
              </w:rPr>
              <w:fldChar w:fldCharType="end"/>
            </w:r>
            <w:r>
              <w:rPr>
                <w:color w:val="auto"/>
                <w:sz w:val="24"/>
              </w:rPr>
              <w:t xml:space="preserve"> </w:t>
            </w:r>
          </w:p>
          <w:p>
            <w:pPr>
              <w:spacing w:line="360" w:lineRule="auto"/>
              <w:ind w:firstLine="480" w:firstLineChars="200"/>
              <w:rPr>
                <w:color w:val="auto"/>
                <w:sz w:val="24"/>
              </w:rPr>
            </w:pPr>
            <w:r>
              <w:rPr>
                <w:color w:val="auto"/>
                <w:sz w:val="24"/>
              </w:rPr>
              <w:t>式中：L</w:t>
            </w:r>
            <w:r>
              <w:rPr>
                <w:color w:val="auto"/>
                <w:sz w:val="24"/>
                <w:vertAlign w:val="subscript"/>
              </w:rPr>
              <w:t>p1i</w:t>
            </w:r>
            <w:r>
              <w:rPr>
                <w:color w:val="auto"/>
                <w:sz w:val="24"/>
              </w:rPr>
              <w:t>（T）—靠近围护结构处室内N个声源i倍频带的叠加声压级，dB；</w:t>
            </w:r>
          </w:p>
          <w:p>
            <w:pPr>
              <w:spacing w:line="360" w:lineRule="auto"/>
              <w:ind w:firstLine="1200" w:firstLineChars="500"/>
              <w:rPr>
                <w:color w:val="auto"/>
                <w:sz w:val="24"/>
              </w:rPr>
            </w:pPr>
            <w:r>
              <w:rPr>
                <w:color w:val="auto"/>
                <w:sz w:val="24"/>
              </w:rPr>
              <w:t>L</w:t>
            </w:r>
            <w:r>
              <w:rPr>
                <w:color w:val="auto"/>
                <w:sz w:val="24"/>
                <w:vertAlign w:val="subscript"/>
              </w:rPr>
              <w:t>p1ij</w:t>
            </w:r>
            <w:r>
              <w:rPr>
                <w:color w:val="auto"/>
                <w:sz w:val="24"/>
              </w:rPr>
              <w:t>—室内j声源i倍频带的声压级，dB；</w:t>
            </w:r>
          </w:p>
          <w:p>
            <w:pPr>
              <w:spacing w:line="360" w:lineRule="auto"/>
              <w:ind w:firstLine="1200" w:firstLineChars="500"/>
              <w:rPr>
                <w:color w:val="auto"/>
                <w:sz w:val="24"/>
              </w:rPr>
            </w:pPr>
            <w:r>
              <w:rPr>
                <w:color w:val="auto"/>
                <w:sz w:val="24"/>
              </w:rPr>
              <w:t>N—室内声源总数。</w:t>
            </w:r>
          </w:p>
          <w:p>
            <w:pPr>
              <w:spacing w:line="360" w:lineRule="auto"/>
              <w:ind w:firstLine="480" w:firstLineChars="200"/>
              <w:rPr>
                <w:color w:val="auto"/>
                <w:sz w:val="24"/>
              </w:rPr>
            </w:pPr>
            <w:r>
              <w:rPr>
                <w:color w:val="auto"/>
                <w:sz w:val="24"/>
              </w:rPr>
              <w:t>在室内近似为扩散声场时，计算出靠近室外围护结构处的声压级：</w:t>
            </w:r>
          </w:p>
          <w:p>
            <w:pPr>
              <w:spacing w:line="360" w:lineRule="auto"/>
              <w:ind w:firstLine="420" w:firstLineChars="200"/>
              <w:jc w:val="center"/>
              <w:rPr>
                <w:color w:val="auto"/>
                <w:sz w:val="24"/>
              </w:rPr>
            </w:pPr>
            <w:r>
              <w:rPr>
                <w:color w:val="auto"/>
              </w:rPr>
              <w:fldChar w:fldCharType="begin"/>
            </w:r>
            <w:r>
              <w:rPr>
                <w:color w:val="auto"/>
              </w:rPr>
              <w:instrText xml:space="preserve"> INCLUDEPICTURE "C:\\Users\\ADMINI~1\\AppData\\Local\\Temp\\ksohtml7248\\wps3.jpg" \* MERGEFORMATINET </w:instrText>
            </w:r>
            <w:r>
              <w:rPr>
                <w:color w:val="auto"/>
              </w:rPr>
              <w:fldChar w:fldCharType="separate"/>
            </w:r>
            <w:r>
              <w:rPr>
                <w:color w:val="auto"/>
              </w:rPr>
              <w:drawing>
                <wp:inline distT="0" distB="0" distL="114300" distR="114300">
                  <wp:extent cx="2515235" cy="296545"/>
                  <wp:effectExtent l="0" t="0" r="14605" b="8255"/>
                  <wp:docPr id="137" name="图片 21"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21" descr="wps3"/>
                          <pic:cNvPicPr>
                            <a:picLocks noChangeAspect="1"/>
                          </pic:cNvPicPr>
                        </pic:nvPicPr>
                        <pic:blipFill>
                          <a:blip r:embed="rId24"/>
                          <a:stretch>
                            <a:fillRect/>
                          </a:stretch>
                        </pic:blipFill>
                        <pic:spPr>
                          <a:xfrm>
                            <a:off x="0" y="0"/>
                            <a:ext cx="2515235" cy="296545"/>
                          </a:xfrm>
                          <a:prstGeom prst="rect">
                            <a:avLst/>
                          </a:prstGeom>
                          <a:noFill/>
                          <a:ln>
                            <a:noFill/>
                          </a:ln>
                        </pic:spPr>
                      </pic:pic>
                    </a:graphicData>
                  </a:graphic>
                </wp:inline>
              </w:drawing>
            </w:r>
            <w:r>
              <w:rPr>
                <w:color w:val="auto"/>
              </w:rPr>
              <w:fldChar w:fldCharType="end"/>
            </w:r>
            <w:r>
              <w:rPr>
                <w:color w:val="auto"/>
                <w:sz w:val="24"/>
              </w:rPr>
              <w:t xml:space="preserve"> </w:t>
            </w:r>
          </w:p>
          <w:p>
            <w:pPr>
              <w:spacing w:line="360" w:lineRule="auto"/>
              <w:ind w:firstLine="480" w:firstLineChars="200"/>
              <w:rPr>
                <w:color w:val="auto"/>
                <w:sz w:val="24"/>
              </w:rPr>
            </w:pPr>
            <w:r>
              <w:rPr>
                <w:color w:val="auto"/>
                <w:sz w:val="24"/>
              </w:rPr>
              <w:t>式中：L</w:t>
            </w:r>
            <w:r>
              <w:rPr>
                <w:color w:val="auto"/>
                <w:sz w:val="24"/>
                <w:vertAlign w:val="subscript"/>
              </w:rPr>
              <w:t>2pi</w:t>
            </w:r>
            <w:r>
              <w:rPr>
                <w:color w:val="auto"/>
                <w:sz w:val="24"/>
              </w:rPr>
              <w:t>（T）—靠近围护结构处室外N个声源i倍频带的叠加声压级，dB；</w:t>
            </w:r>
          </w:p>
          <w:p>
            <w:pPr>
              <w:spacing w:line="360" w:lineRule="auto"/>
              <w:ind w:firstLine="1080" w:firstLineChars="450"/>
              <w:rPr>
                <w:color w:val="auto"/>
                <w:sz w:val="24"/>
              </w:rPr>
            </w:pPr>
            <w:r>
              <w:rPr>
                <w:color w:val="auto"/>
                <w:sz w:val="24"/>
              </w:rPr>
              <w:t>TL</w:t>
            </w:r>
            <w:r>
              <w:rPr>
                <w:color w:val="auto"/>
                <w:sz w:val="24"/>
                <w:vertAlign w:val="subscript"/>
              </w:rPr>
              <w:t>i</w:t>
            </w:r>
            <w:r>
              <w:rPr>
                <w:color w:val="auto"/>
                <w:sz w:val="24"/>
              </w:rPr>
              <w:t>—围护结构i倍频带的隔声量，dB。</w:t>
            </w:r>
          </w:p>
          <w:p>
            <w:pPr>
              <w:spacing w:line="360" w:lineRule="auto"/>
              <w:ind w:firstLine="480" w:firstLineChars="200"/>
              <w:rPr>
                <w:color w:val="auto"/>
                <w:sz w:val="24"/>
              </w:rPr>
            </w:pPr>
            <w:r>
              <w:rPr>
                <w:color w:val="auto"/>
                <w:sz w:val="24"/>
              </w:rPr>
              <w:t>然后将室外声源的声压级和透过面积换算成等效的室外声源，计算出中心位置位于透声面积（S）处的等效声源的倍频带声功率级。</w:t>
            </w:r>
          </w:p>
          <w:p>
            <w:pPr>
              <w:spacing w:line="360" w:lineRule="auto"/>
              <w:jc w:val="center"/>
              <w:rPr>
                <w:color w:val="auto"/>
                <w:sz w:val="24"/>
              </w:rPr>
            </w:pPr>
            <w:r>
              <w:rPr>
                <w:color w:val="auto"/>
              </w:rPr>
              <w:fldChar w:fldCharType="begin"/>
            </w:r>
            <w:r>
              <w:rPr>
                <w:color w:val="auto"/>
              </w:rPr>
              <w:instrText xml:space="preserve"> INCLUDEPICTURE "C:\\Users\\ADMINI~1\\AppData\\Local\\Temp\\ksohtml7248\\wps4.jpg" \* MERGEFORMATINET </w:instrText>
            </w:r>
            <w:r>
              <w:rPr>
                <w:color w:val="auto"/>
              </w:rPr>
              <w:fldChar w:fldCharType="separate"/>
            </w:r>
            <w:r>
              <w:rPr>
                <w:color w:val="auto"/>
              </w:rPr>
              <w:drawing>
                <wp:inline distT="0" distB="0" distL="114300" distR="114300">
                  <wp:extent cx="2123440" cy="296545"/>
                  <wp:effectExtent l="0" t="0" r="10160" b="8255"/>
                  <wp:docPr id="135" name="图片 22" descr="wp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22" descr="wps4"/>
                          <pic:cNvPicPr>
                            <a:picLocks noChangeAspect="1"/>
                          </pic:cNvPicPr>
                        </pic:nvPicPr>
                        <pic:blipFill>
                          <a:blip r:embed="rId25"/>
                          <a:stretch>
                            <a:fillRect/>
                          </a:stretch>
                        </pic:blipFill>
                        <pic:spPr>
                          <a:xfrm>
                            <a:off x="0" y="0"/>
                            <a:ext cx="2123440" cy="296545"/>
                          </a:xfrm>
                          <a:prstGeom prst="rect">
                            <a:avLst/>
                          </a:prstGeom>
                          <a:noFill/>
                          <a:ln>
                            <a:noFill/>
                          </a:ln>
                        </pic:spPr>
                      </pic:pic>
                    </a:graphicData>
                  </a:graphic>
                </wp:inline>
              </w:drawing>
            </w:r>
            <w:r>
              <w:rPr>
                <w:color w:val="auto"/>
              </w:rPr>
              <w:fldChar w:fldCharType="end"/>
            </w:r>
            <w:r>
              <w:rPr>
                <w:color w:val="auto"/>
                <w:sz w:val="24"/>
              </w:rPr>
              <w:t xml:space="preserve"> </w:t>
            </w:r>
          </w:p>
          <w:p>
            <w:pPr>
              <w:spacing w:line="360" w:lineRule="auto"/>
              <w:rPr>
                <w:color w:val="auto"/>
                <w:sz w:val="24"/>
              </w:rPr>
            </w:pPr>
            <w:r>
              <w:rPr>
                <w:color w:val="auto"/>
                <w:sz w:val="24"/>
              </w:rPr>
              <w:t>式中：L</w:t>
            </w:r>
            <w:r>
              <w:rPr>
                <w:color w:val="auto"/>
                <w:sz w:val="24"/>
                <w:vertAlign w:val="subscript"/>
              </w:rPr>
              <w:t>w</w:t>
            </w:r>
            <w:r>
              <w:rPr>
                <w:color w:val="auto"/>
                <w:sz w:val="24"/>
              </w:rPr>
              <w:t>—中心位置位于透声面积（S）处的等效声源的倍频带声功率级，dB；</w:t>
            </w:r>
          </w:p>
          <w:p>
            <w:pPr>
              <w:spacing w:line="360" w:lineRule="auto"/>
              <w:ind w:firstLine="720" w:firstLineChars="300"/>
              <w:rPr>
                <w:color w:val="auto"/>
                <w:sz w:val="24"/>
              </w:rPr>
            </w:pPr>
            <w:r>
              <w:rPr>
                <w:color w:val="auto"/>
                <w:sz w:val="24"/>
              </w:rPr>
              <w:t>L</w:t>
            </w:r>
            <w:r>
              <w:rPr>
                <w:color w:val="auto"/>
                <w:sz w:val="24"/>
                <w:vertAlign w:val="subscript"/>
              </w:rPr>
              <w:t>p2</w:t>
            </w:r>
            <w:r>
              <w:rPr>
                <w:color w:val="auto"/>
                <w:sz w:val="24"/>
              </w:rPr>
              <w:t>（T）—靠近围护结构处室外声源的声压级，dB；</w:t>
            </w:r>
          </w:p>
          <w:p>
            <w:pPr>
              <w:spacing w:line="360" w:lineRule="auto"/>
              <w:ind w:firstLine="720" w:firstLineChars="300"/>
              <w:rPr>
                <w:color w:val="auto"/>
                <w:sz w:val="24"/>
              </w:rPr>
            </w:pPr>
            <w:r>
              <w:rPr>
                <w:color w:val="auto"/>
                <w:sz w:val="24"/>
              </w:rPr>
              <w:t>S—透声面积，m</w:t>
            </w:r>
            <w:r>
              <w:rPr>
                <w:color w:val="auto"/>
                <w:sz w:val="24"/>
                <w:vertAlign w:val="superscript"/>
              </w:rPr>
              <w:t>2</w:t>
            </w:r>
            <w:r>
              <w:rPr>
                <w:color w:val="auto"/>
                <w:sz w:val="24"/>
              </w:rPr>
              <w:t>。</w:t>
            </w:r>
          </w:p>
          <w:p>
            <w:pPr>
              <w:spacing w:line="360" w:lineRule="auto"/>
              <w:ind w:firstLine="480" w:firstLineChars="200"/>
              <w:rPr>
                <w:color w:val="auto"/>
                <w:sz w:val="24"/>
              </w:rPr>
            </w:pPr>
            <w:r>
              <w:rPr>
                <w:color w:val="auto"/>
                <w:sz w:val="24"/>
              </w:rPr>
              <w:t>（4）户外声传播衰减计算</w:t>
            </w:r>
          </w:p>
          <w:p>
            <w:pPr>
              <w:spacing w:line="360" w:lineRule="auto"/>
              <w:ind w:firstLine="480" w:firstLineChars="200"/>
              <w:rPr>
                <w:color w:val="auto"/>
                <w:sz w:val="24"/>
              </w:rPr>
            </w:pPr>
            <w:r>
              <w:rPr>
                <w:color w:val="auto"/>
                <w:sz w:val="24"/>
              </w:rPr>
              <w:t>户外声传播衰减包括几何发散（A</w:t>
            </w:r>
            <w:r>
              <w:rPr>
                <w:color w:val="auto"/>
                <w:sz w:val="24"/>
                <w:vertAlign w:val="subscript"/>
              </w:rPr>
              <w:t>div</w:t>
            </w:r>
            <w:r>
              <w:rPr>
                <w:color w:val="auto"/>
                <w:sz w:val="24"/>
              </w:rPr>
              <w:t>）、大气吸收（A</w:t>
            </w:r>
            <w:r>
              <w:rPr>
                <w:color w:val="auto"/>
                <w:sz w:val="24"/>
                <w:vertAlign w:val="subscript"/>
              </w:rPr>
              <w:t>atm</w:t>
            </w:r>
            <w:r>
              <w:rPr>
                <w:color w:val="auto"/>
                <w:sz w:val="24"/>
              </w:rPr>
              <w:t>）、地面效应（A</w:t>
            </w:r>
            <w:r>
              <w:rPr>
                <w:color w:val="auto"/>
                <w:sz w:val="24"/>
                <w:vertAlign w:val="subscript"/>
              </w:rPr>
              <w:t>gr</w:t>
            </w:r>
            <w:r>
              <w:rPr>
                <w:color w:val="auto"/>
                <w:sz w:val="24"/>
              </w:rPr>
              <w:t>）、屏障屏蔽（A</w:t>
            </w:r>
            <w:r>
              <w:rPr>
                <w:color w:val="auto"/>
                <w:sz w:val="24"/>
                <w:vertAlign w:val="subscript"/>
              </w:rPr>
              <w:t>bar</w:t>
            </w:r>
            <w:r>
              <w:rPr>
                <w:color w:val="auto"/>
                <w:sz w:val="24"/>
              </w:rPr>
              <w:t>）、其他多方面效应（A</w:t>
            </w:r>
            <w:r>
              <w:rPr>
                <w:color w:val="auto"/>
                <w:sz w:val="24"/>
                <w:vertAlign w:val="subscript"/>
              </w:rPr>
              <w:t>misc</w:t>
            </w:r>
            <w:r>
              <w:rPr>
                <w:color w:val="auto"/>
                <w:sz w:val="24"/>
              </w:rPr>
              <w:t>）引起的衰减。</w:t>
            </w:r>
          </w:p>
          <w:p>
            <w:pPr>
              <w:spacing w:line="360" w:lineRule="auto"/>
              <w:ind w:firstLine="480" w:firstLineChars="200"/>
              <w:rPr>
                <w:color w:val="auto"/>
                <w:sz w:val="24"/>
              </w:rPr>
            </w:pPr>
            <w:r>
              <w:rPr>
                <w:color w:val="auto"/>
                <w:sz w:val="24"/>
              </w:rPr>
              <w:t>距声源点r处的A声级按下式计算：</w:t>
            </w:r>
          </w:p>
          <w:p>
            <w:pPr>
              <w:spacing w:line="360" w:lineRule="auto"/>
              <w:jc w:val="center"/>
              <w:rPr>
                <w:color w:val="auto"/>
                <w:sz w:val="24"/>
              </w:rPr>
            </w:pPr>
            <w:r>
              <w:rPr>
                <w:color w:val="auto"/>
                <w:sz w:val="24"/>
              </w:rPr>
              <w:drawing>
                <wp:inline distT="0" distB="0" distL="114300" distR="114300">
                  <wp:extent cx="3923030" cy="336550"/>
                  <wp:effectExtent l="0" t="0" r="8890" b="13970"/>
                  <wp:docPr id="13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23"/>
                          <pic:cNvPicPr>
                            <a:picLocks noChangeAspect="1"/>
                          </pic:cNvPicPr>
                        </pic:nvPicPr>
                        <pic:blipFill>
                          <a:blip r:embed="rId26"/>
                          <a:stretch>
                            <a:fillRect/>
                          </a:stretch>
                        </pic:blipFill>
                        <pic:spPr>
                          <a:xfrm>
                            <a:off x="0" y="0"/>
                            <a:ext cx="3923030" cy="336550"/>
                          </a:xfrm>
                          <a:prstGeom prst="rect">
                            <a:avLst/>
                          </a:prstGeom>
                          <a:noFill/>
                          <a:ln>
                            <a:noFill/>
                          </a:ln>
                        </pic:spPr>
                      </pic:pic>
                    </a:graphicData>
                  </a:graphic>
                </wp:inline>
              </w:drawing>
            </w:r>
          </w:p>
          <w:p>
            <w:pPr>
              <w:spacing w:line="360" w:lineRule="auto"/>
              <w:ind w:firstLine="480" w:firstLineChars="200"/>
              <w:rPr>
                <w:color w:val="auto"/>
                <w:sz w:val="24"/>
              </w:rPr>
            </w:pPr>
            <w:r>
              <w:rPr>
                <w:color w:val="auto"/>
                <w:sz w:val="24"/>
              </w:rPr>
              <w:t>（5）拟建工程声源对预测点产生的贡献值计算</w:t>
            </w:r>
          </w:p>
          <w:p>
            <w:pPr>
              <w:autoSpaceDE w:val="0"/>
              <w:autoSpaceDN w:val="0"/>
              <w:spacing w:line="360" w:lineRule="auto"/>
              <w:ind w:firstLine="1200" w:firstLineChars="500"/>
              <w:contextualSpacing/>
              <w:rPr>
                <w:color w:val="auto"/>
                <w:sz w:val="24"/>
              </w:rPr>
            </w:pPr>
            <w:r>
              <w:rPr>
                <w:color w:val="auto"/>
                <w:sz w:val="24"/>
              </w:rPr>
              <w:drawing>
                <wp:inline distT="0" distB="0" distL="114300" distR="114300">
                  <wp:extent cx="2421890" cy="527685"/>
                  <wp:effectExtent l="0" t="0" r="1270" b="5715"/>
                  <wp:docPr id="13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24"/>
                          <pic:cNvPicPr>
                            <a:picLocks noChangeAspect="1"/>
                          </pic:cNvPicPr>
                        </pic:nvPicPr>
                        <pic:blipFill>
                          <a:blip r:embed="rId27"/>
                          <a:stretch>
                            <a:fillRect/>
                          </a:stretch>
                        </pic:blipFill>
                        <pic:spPr>
                          <a:xfrm>
                            <a:off x="0" y="0"/>
                            <a:ext cx="2421890" cy="527685"/>
                          </a:xfrm>
                          <a:prstGeom prst="rect">
                            <a:avLst/>
                          </a:prstGeom>
                          <a:noFill/>
                          <a:ln>
                            <a:noFill/>
                          </a:ln>
                        </pic:spPr>
                      </pic:pic>
                    </a:graphicData>
                  </a:graphic>
                </wp:inline>
              </w:drawing>
            </w:r>
          </w:p>
          <w:p>
            <w:pPr>
              <w:spacing w:line="360" w:lineRule="auto"/>
              <w:ind w:firstLine="480" w:firstLineChars="200"/>
              <w:rPr>
                <w:color w:val="auto"/>
                <w:sz w:val="24"/>
              </w:rPr>
            </w:pPr>
            <w:r>
              <w:rPr>
                <w:color w:val="auto"/>
                <w:sz w:val="24"/>
              </w:rPr>
              <w:t>式中：L</w:t>
            </w:r>
            <w:r>
              <w:rPr>
                <w:color w:val="auto"/>
                <w:sz w:val="24"/>
                <w:vertAlign w:val="subscript"/>
              </w:rPr>
              <w:t>eqg</w:t>
            </w:r>
            <w:r>
              <w:rPr>
                <w:color w:val="auto"/>
                <w:sz w:val="24"/>
              </w:rPr>
              <w:t>—建设项目声源在预测点产生的噪声贡献值，dB；</w:t>
            </w:r>
          </w:p>
          <w:p>
            <w:pPr>
              <w:spacing w:line="360" w:lineRule="auto"/>
              <w:ind w:firstLine="1200" w:firstLineChars="500"/>
              <w:rPr>
                <w:color w:val="auto"/>
                <w:sz w:val="24"/>
              </w:rPr>
            </w:pPr>
            <w:r>
              <w:rPr>
                <w:color w:val="auto"/>
                <w:sz w:val="24"/>
              </w:rPr>
              <w:t>T—用于计算等效声级的时间，s；</w:t>
            </w:r>
          </w:p>
          <w:p>
            <w:pPr>
              <w:spacing w:line="360" w:lineRule="auto"/>
              <w:ind w:firstLine="1200" w:firstLineChars="500"/>
              <w:rPr>
                <w:color w:val="auto"/>
                <w:sz w:val="24"/>
              </w:rPr>
            </w:pPr>
            <w:r>
              <w:rPr>
                <w:color w:val="auto"/>
                <w:sz w:val="24"/>
              </w:rPr>
              <w:t>N—室外声源个数；</w:t>
            </w:r>
          </w:p>
          <w:p>
            <w:pPr>
              <w:spacing w:line="360" w:lineRule="auto"/>
              <w:ind w:firstLine="1200" w:firstLineChars="500"/>
              <w:rPr>
                <w:color w:val="auto"/>
                <w:sz w:val="24"/>
              </w:rPr>
            </w:pPr>
            <w:r>
              <w:rPr>
                <w:color w:val="auto"/>
                <w:sz w:val="24"/>
              </w:rPr>
              <w:t>t</w:t>
            </w:r>
            <w:r>
              <w:rPr>
                <w:color w:val="auto"/>
                <w:sz w:val="24"/>
                <w:vertAlign w:val="subscript"/>
              </w:rPr>
              <w:t>i</w:t>
            </w:r>
            <w:r>
              <w:rPr>
                <w:color w:val="auto"/>
                <w:sz w:val="24"/>
              </w:rPr>
              <w:t>—在T时间内i声源工作时间，s；</w:t>
            </w:r>
          </w:p>
          <w:p>
            <w:pPr>
              <w:spacing w:line="360" w:lineRule="auto"/>
              <w:ind w:firstLine="1200" w:firstLineChars="500"/>
              <w:rPr>
                <w:color w:val="auto"/>
                <w:sz w:val="24"/>
              </w:rPr>
            </w:pPr>
            <w:r>
              <w:rPr>
                <w:color w:val="auto"/>
                <w:sz w:val="24"/>
              </w:rPr>
              <w:t>M—等效室外声源个数；</w:t>
            </w:r>
          </w:p>
          <w:p>
            <w:pPr>
              <w:spacing w:line="360" w:lineRule="auto"/>
              <w:ind w:firstLine="1200" w:firstLineChars="500"/>
              <w:rPr>
                <w:color w:val="auto"/>
                <w:sz w:val="24"/>
              </w:rPr>
            </w:pPr>
            <w:r>
              <w:rPr>
                <w:color w:val="auto"/>
                <w:sz w:val="24"/>
              </w:rPr>
              <w:t>t</w:t>
            </w:r>
            <w:r>
              <w:rPr>
                <w:color w:val="auto"/>
                <w:sz w:val="24"/>
                <w:vertAlign w:val="subscript"/>
              </w:rPr>
              <w:t>j</w:t>
            </w:r>
            <w:r>
              <w:rPr>
                <w:color w:val="auto"/>
                <w:sz w:val="24"/>
              </w:rPr>
              <w:t>—在T时间内j声源工作时间，s。</w:t>
            </w:r>
          </w:p>
          <w:p>
            <w:pPr>
              <w:spacing w:line="360" w:lineRule="auto"/>
              <w:ind w:firstLine="542" w:firstLineChars="225"/>
              <w:jc w:val="center"/>
              <w:rPr>
                <w:b/>
                <w:color w:val="auto"/>
                <w:sz w:val="24"/>
              </w:rPr>
            </w:pPr>
            <w:r>
              <w:rPr>
                <w:b/>
                <w:color w:val="auto"/>
                <w:sz w:val="24"/>
              </w:rPr>
              <w:t>表4-</w:t>
            </w:r>
            <w:r>
              <w:rPr>
                <w:rFonts w:hint="eastAsia"/>
                <w:b/>
                <w:color w:val="auto"/>
                <w:sz w:val="24"/>
              </w:rPr>
              <w:t>8</w:t>
            </w:r>
            <w:r>
              <w:rPr>
                <w:b/>
                <w:color w:val="auto"/>
                <w:sz w:val="24"/>
              </w:rPr>
              <w:t xml:space="preserve">噪声影响预测结果    </w:t>
            </w:r>
            <w:r>
              <w:rPr>
                <w:color w:val="auto"/>
                <w:sz w:val="24"/>
              </w:rPr>
              <w:t>单位：dB（A）</w:t>
            </w:r>
          </w:p>
          <w:tbl>
            <w:tblPr>
              <w:tblStyle w:val="15"/>
              <w:tblW w:w="483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82"/>
              <w:gridCol w:w="1330"/>
              <w:gridCol w:w="1601"/>
              <w:gridCol w:w="1284"/>
              <w:gridCol w:w="11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489" w:type="pct"/>
                  <w:noWrap w:val="0"/>
                  <w:vAlign w:val="center"/>
                </w:tcPr>
                <w:p>
                  <w:pPr>
                    <w:jc w:val="center"/>
                    <w:rPr>
                      <w:color w:val="auto"/>
                      <w:szCs w:val="21"/>
                    </w:rPr>
                  </w:pPr>
                  <w:r>
                    <w:rPr>
                      <w:color w:val="auto"/>
                      <w:szCs w:val="21"/>
                    </w:rPr>
                    <w:t>预测点位</w:t>
                  </w:r>
                </w:p>
              </w:tc>
              <w:tc>
                <w:tcPr>
                  <w:tcW w:w="868" w:type="pct"/>
                  <w:noWrap w:val="0"/>
                  <w:vAlign w:val="center"/>
                </w:tcPr>
                <w:p>
                  <w:pPr>
                    <w:jc w:val="center"/>
                    <w:rPr>
                      <w:color w:val="auto"/>
                      <w:szCs w:val="21"/>
                    </w:rPr>
                  </w:pPr>
                  <w:r>
                    <w:rPr>
                      <w:color w:val="auto"/>
                      <w:szCs w:val="21"/>
                    </w:rPr>
                    <w:t>预测时段</w:t>
                  </w:r>
                </w:p>
              </w:tc>
              <w:tc>
                <w:tcPr>
                  <w:tcW w:w="1045" w:type="pct"/>
                  <w:noWrap w:val="0"/>
                  <w:vAlign w:val="center"/>
                </w:tcPr>
                <w:p>
                  <w:pPr>
                    <w:jc w:val="center"/>
                    <w:rPr>
                      <w:color w:val="auto"/>
                      <w:szCs w:val="21"/>
                    </w:rPr>
                  </w:pPr>
                  <w:r>
                    <w:rPr>
                      <w:color w:val="auto"/>
                      <w:szCs w:val="21"/>
                    </w:rPr>
                    <w:t>贡献值</w:t>
                  </w:r>
                </w:p>
              </w:tc>
              <w:tc>
                <w:tcPr>
                  <w:tcW w:w="838" w:type="pct"/>
                  <w:noWrap w:val="0"/>
                  <w:vAlign w:val="center"/>
                </w:tcPr>
                <w:p>
                  <w:pPr>
                    <w:jc w:val="center"/>
                    <w:rPr>
                      <w:color w:val="auto"/>
                      <w:szCs w:val="21"/>
                    </w:rPr>
                  </w:pPr>
                  <w:r>
                    <w:rPr>
                      <w:color w:val="auto"/>
                      <w:szCs w:val="21"/>
                    </w:rPr>
                    <w:t>背景值</w:t>
                  </w:r>
                </w:p>
              </w:tc>
              <w:tc>
                <w:tcPr>
                  <w:tcW w:w="761" w:type="pct"/>
                  <w:noWrap w:val="0"/>
                  <w:vAlign w:val="center"/>
                </w:tcPr>
                <w:p>
                  <w:pPr>
                    <w:jc w:val="center"/>
                    <w:rPr>
                      <w:color w:val="auto"/>
                      <w:szCs w:val="21"/>
                    </w:rPr>
                  </w:pPr>
                  <w:r>
                    <w:rPr>
                      <w:color w:val="auto"/>
                      <w:szCs w:val="21"/>
                    </w:rPr>
                    <w:t>叠加值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489" w:type="pct"/>
                  <w:vMerge w:val="restart"/>
                  <w:noWrap w:val="0"/>
                  <w:vAlign w:val="center"/>
                </w:tcPr>
                <w:p>
                  <w:pPr>
                    <w:jc w:val="center"/>
                    <w:rPr>
                      <w:color w:val="auto"/>
                      <w:szCs w:val="21"/>
                    </w:rPr>
                  </w:pPr>
                  <w:r>
                    <w:rPr>
                      <w:color w:val="auto"/>
                      <w:szCs w:val="21"/>
                    </w:rPr>
                    <w:t>东侧</w:t>
                  </w:r>
                </w:p>
              </w:tc>
              <w:tc>
                <w:tcPr>
                  <w:tcW w:w="868" w:type="pct"/>
                  <w:noWrap w:val="0"/>
                  <w:vAlign w:val="center"/>
                </w:tcPr>
                <w:p>
                  <w:pPr>
                    <w:jc w:val="center"/>
                    <w:rPr>
                      <w:color w:val="auto"/>
                      <w:szCs w:val="21"/>
                    </w:rPr>
                  </w:pPr>
                  <w:r>
                    <w:rPr>
                      <w:color w:val="auto"/>
                      <w:szCs w:val="21"/>
                    </w:rPr>
                    <w:t>昼间</w:t>
                  </w:r>
                </w:p>
              </w:tc>
              <w:tc>
                <w:tcPr>
                  <w:tcW w:w="1045" w:type="pct"/>
                  <w:noWrap w:val="0"/>
                  <w:vAlign w:val="center"/>
                </w:tcPr>
                <w:p>
                  <w:pPr>
                    <w:jc w:val="center"/>
                    <w:rPr>
                      <w:color w:val="auto"/>
                      <w:szCs w:val="21"/>
                    </w:rPr>
                  </w:pPr>
                  <w:r>
                    <w:rPr>
                      <w:color w:val="auto"/>
                      <w:szCs w:val="21"/>
                    </w:rPr>
                    <w:t>36.71</w:t>
                  </w:r>
                </w:p>
              </w:tc>
              <w:tc>
                <w:tcPr>
                  <w:tcW w:w="838" w:type="pct"/>
                  <w:noWrap w:val="0"/>
                  <w:vAlign w:val="center"/>
                </w:tcPr>
                <w:p>
                  <w:pPr>
                    <w:jc w:val="center"/>
                    <w:rPr>
                      <w:bCs/>
                      <w:color w:val="auto"/>
                      <w:szCs w:val="21"/>
                    </w:rPr>
                  </w:pPr>
                  <w:r>
                    <w:rPr>
                      <w:bCs/>
                      <w:color w:val="auto"/>
                      <w:szCs w:val="21"/>
                    </w:rPr>
                    <w:t>/</w:t>
                  </w:r>
                </w:p>
              </w:tc>
              <w:tc>
                <w:tcPr>
                  <w:tcW w:w="761" w:type="pct"/>
                  <w:noWrap w:val="0"/>
                  <w:vAlign w:val="center"/>
                </w:tcPr>
                <w:p>
                  <w:pPr>
                    <w:jc w:val="center"/>
                    <w:rPr>
                      <w:bCs/>
                      <w:color w:val="auto"/>
                      <w:szCs w:val="21"/>
                    </w:rPr>
                  </w:pPr>
                  <w:r>
                    <w:rPr>
                      <w:bCs/>
                      <w:color w:val="auto"/>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489" w:type="pct"/>
                  <w:vMerge w:val="continue"/>
                  <w:noWrap w:val="0"/>
                  <w:vAlign w:val="center"/>
                </w:tcPr>
                <w:p>
                  <w:pPr>
                    <w:jc w:val="center"/>
                    <w:rPr>
                      <w:color w:val="auto"/>
                      <w:szCs w:val="21"/>
                    </w:rPr>
                  </w:pPr>
                </w:p>
              </w:tc>
              <w:tc>
                <w:tcPr>
                  <w:tcW w:w="868" w:type="pct"/>
                  <w:noWrap w:val="0"/>
                  <w:vAlign w:val="center"/>
                </w:tcPr>
                <w:p>
                  <w:pPr>
                    <w:jc w:val="center"/>
                    <w:rPr>
                      <w:color w:val="auto"/>
                      <w:szCs w:val="21"/>
                    </w:rPr>
                  </w:pPr>
                  <w:r>
                    <w:rPr>
                      <w:color w:val="auto"/>
                      <w:szCs w:val="21"/>
                    </w:rPr>
                    <w:t>夜间</w:t>
                  </w:r>
                </w:p>
              </w:tc>
              <w:tc>
                <w:tcPr>
                  <w:tcW w:w="1045" w:type="pct"/>
                  <w:noWrap w:val="0"/>
                  <w:vAlign w:val="center"/>
                </w:tcPr>
                <w:p>
                  <w:pPr>
                    <w:jc w:val="center"/>
                    <w:rPr>
                      <w:color w:val="auto"/>
                      <w:szCs w:val="21"/>
                    </w:rPr>
                  </w:pPr>
                  <w:r>
                    <w:rPr>
                      <w:color w:val="auto"/>
                      <w:szCs w:val="21"/>
                    </w:rPr>
                    <w:t>36.71</w:t>
                  </w:r>
                </w:p>
              </w:tc>
              <w:tc>
                <w:tcPr>
                  <w:tcW w:w="838" w:type="pct"/>
                  <w:noWrap w:val="0"/>
                  <w:vAlign w:val="center"/>
                </w:tcPr>
                <w:p>
                  <w:pPr>
                    <w:jc w:val="center"/>
                    <w:rPr>
                      <w:bCs/>
                      <w:color w:val="auto"/>
                      <w:szCs w:val="21"/>
                    </w:rPr>
                  </w:pPr>
                  <w:r>
                    <w:rPr>
                      <w:bCs/>
                      <w:color w:val="auto"/>
                      <w:szCs w:val="21"/>
                    </w:rPr>
                    <w:t>/</w:t>
                  </w:r>
                </w:p>
              </w:tc>
              <w:tc>
                <w:tcPr>
                  <w:tcW w:w="761" w:type="pct"/>
                  <w:noWrap w:val="0"/>
                  <w:vAlign w:val="center"/>
                </w:tcPr>
                <w:p>
                  <w:pPr>
                    <w:jc w:val="center"/>
                    <w:rPr>
                      <w:bCs/>
                      <w:color w:val="auto"/>
                      <w:szCs w:val="21"/>
                    </w:rPr>
                  </w:pPr>
                  <w:r>
                    <w:rPr>
                      <w:bCs/>
                      <w:color w:val="auto"/>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489" w:type="pct"/>
                  <w:vMerge w:val="restart"/>
                  <w:noWrap w:val="0"/>
                  <w:vAlign w:val="center"/>
                </w:tcPr>
                <w:p>
                  <w:pPr>
                    <w:jc w:val="center"/>
                    <w:rPr>
                      <w:color w:val="auto"/>
                      <w:szCs w:val="21"/>
                    </w:rPr>
                  </w:pPr>
                  <w:r>
                    <w:rPr>
                      <w:color w:val="auto"/>
                      <w:szCs w:val="21"/>
                    </w:rPr>
                    <w:t>南侧</w:t>
                  </w:r>
                </w:p>
              </w:tc>
              <w:tc>
                <w:tcPr>
                  <w:tcW w:w="868" w:type="pct"/>
                  <w:noWrap w:val="0"/>
                  <w:vAlign w:val="center"/>
                </w:tcPr>
                <w:p>
                  <w:pPr>
                    <w:jc w:val="center"/>
                    <w:rPr>
                      <w:color w:val="auto"/>
                      <w:szCs w:val="21"/>
                    </w:rPr>
                  </w:pPr>
                  <w:r>
                    <w:rPr>
                      <w:color w:val="auto"/>
                      <w:szCs w:val="21"/>
                    </w:rPr>
                    <w:t>昼间</w:t>
                  </w:r>
                </w:p>
              </w:tc>
              <w:tc>
                <w:tcPr>
                  <w:tcW w:w="1045" w:type="pct"/>
                  <w:noWrap w:val="0"/>
                  <w:vAlign w:val="center"/>
                </w:tcPr>
                <w:p>
                  <w:pPr>
                    <w:jc w:val="center"/>
                    <w:rPr>
                      <w:color w:val="auto"/>
                      <w:szCs w:val="21"/>
                    </w:rPr>
                  </w:pPr>
                  <w:r>
                    <w:rPr>
                      <w:color w:val="auto"/>
                      <w:szCs w:val="21"/>
                    </w:rPr>
                    <w:t>4</w:t>
                  </w:r>
                  <w:r>
                    <w:rPr>
                      <w:rFonts w:hint="eastAsia"/>
                      <w:color w:val="auto"/>
                      <w:szCs w:val="21"/>
                    </w:rPr>
                    <w:t>5</w:t>
                  </w:r>
                  <w:r>
                    <w:rPr>
                      <w:color w:val="auto"/>
                      <w:szCs w:val="21"/>
                    </w:rPr>
                    <w:t>.5</w:t>
                  </w:r>
                  <w:r>
                    <w:rPr>
                      <w:rFonts w:hint="eastAsia"/>
                      <w:color w:val="auto"/>
                      <w:szCs w:val="21"/>
                    </w:rPr>
                    <w:t>0</w:t>
                  </w:r>
                </w:p>
              </w:tc>
              <w:tc>
                <w:tcPr>
                  <w:tcW w:w="838" w:type="pct"/>
                  <w:noWrap w:val="0"/>
                  <w:vAlign w:val="center"/>
                </w:tcPr>
                <w:p>
                  <w:pPr>
                    <w:jc w:val="center"/>
                    <w:rPr>
                      <w:color w:val="auto"/>
                      <w:szCs w:val="21"/>
                    </w:rPr>
                  </w:pPr>
                  <w:r>
                    <w:rPr>
                      <w:color w:val="auto"/>
                      <w:szCs w:val="21"/>
                    </w:rPr>
                    <w:t>/</w:t>
                  </w:r>
                </w:p>
              </w:tc>
              <w:tc>
                <w:tcPr>
                  <w:tcW w:w="761" w:type="pct"/>
                  <w:noWrap w:val="0"/>
                  <w:vAlign w:val="center"/>
                </w:tcPr>
                <w:p>
                  <w:pPr>
                    <w:jc w:val="center"/>
                    <w:rPr>
                      <w:color w:val="auto"/>
                      <w:szCs w:val="21"/>
                    </w:rPr>
                  </w:pPr>
                  <w:r>
                    <w:rPr>
                      <w:color w:val="auto"/>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489" w:type="pct"/>
                  <w:vMerge w:val="continue"/>
                  <w:noWrap w:val="0"/>
                  <w:vAlign w:val="center"/>
                </w:tcPr>
                <w:p>
                  <w:pPr>
                    <w:jc w:val="center"/>
                    <w:rPr>
                      <w:color w:val="auto"/>
                      <w:szCs w:val="21"/>
                    </w:rPr>
                  </w:pPr>
                </w:p>
              </w:tc>
              <w:tc>
                <w:tcPr>
                  <w:tcW w:w="868" w:type="pct"/>
                  <w:noWrap w:val="0"/>
                  <w:vAlign w:val="center"/>
                </w:tcPr>
                <w:p>
                  <w:pPr>
                    <w:jc w:val="center"/>
                    <w:rPr>
                      <w:color w:val="auto"/>
                      <w:szCs w:val="21"/>
                    </w:rPr>
                  </w:pPr>
                  <w:r>
                    <w:rPr>
                      <w:color w:val="auto"/>
                      <w:szCs w:val="21"/>
                    </w:rPr>
                    <w:t>夜间</w:t>
                  </w:r>
                </w:p>
              </w:tc>
              <w:tc>
                <w:tcPr>
                  <w:tcW w:w="1045" w:type="pct"/>
                  <w:noWrap w:val="0"/>
                  <w:vAlign w:val="center"/>
                </w:tcPr>
                <w:p>
                  <w:pPr>
                    <w:jc w:val="center"/>
                    <w:rPr>
                      <w:color w:val="auto"/>
                      <w:szCs w:val="21"/>
                    </w:rPr>
                  </w:pPr>
                  <w:r>
                    <w:rPr>
                      <w:color w:val="auto"/>
                      <w:szCs w:val="21"/>
                    </w:rPr>
                    <w:t>4</w:t>
                  </w:r>
                  <w:r>
                    <w:rPr>
                      <w:rFonts w:hint="eastAsia"/>
                      <w:color w:val="auto"/>
                      <w:szCs w:val="21"/>
                    </w:rPr>
                    <w:t>5</w:t>
                  </w:r>
                  <w:r>
                    <w:rPr>
                      <w:color w:val="auto"/>
                      <w:szCs w:val="21"/>
                    </w:rPr>
                    <w:t>.5</w:t>
                  </w:r>
                  <w:r>
                    <w:rPr>
                      <w:rFonts w:hint="eastAsia"/>
                      <w:color w:val="auto"/>
                      <w:szCs w:val="21"/>
                    </w:rPr>
                    <w:t>0</w:t>
                  </w:r>
                </w:p>
              </w:tc>
              <w:tc>
                <w:tcPr>
                  <w:tcW w:w="838" w:type="pct"/>
                  <w:noWrap w:val="0"/>
                  <w:vAlign w:val="center"/>
                </w:tcPr>
                <w:p>
                  <w:pPr>
                    <w:jc w:val="center"/>
                    <w:rPr>
                      <w:color w:val="auto"/>
                      <w:szCs w:val="21"/>
                    </w:rPr>
                  </w:pPr>
                  <w:r>
                    <w:rPr>
                      <w:color w:val="auto"/>
                      <w:szCs w:val="21"/>
                    </w:rPr>
                    <w:t>/</w:t>
                  </w:r>
                </w:p>
              </w:tc>
              <w:tc>
                <w:tcPr>
                  <w:tcW w:w="761" w:type="pct"/>
                  <w:noWrap w:val="0"/>
                  <w:vAlign w:val="center"/>
                </w:tcPr>
                <w:p>
                  <w:pPr>
                    <w:jc w:val="center"/>
                    <w:rPr>
                      <w:color w:val="auto"/>
                      <w:szCs w:val="21"/>
                    </w:rPr>
                  </w:pPr>
                  <w:r>
                    <w:rPr>
                      <w:color w:val="auto"/>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489" w:type="pct"/>
                  <w:vMerge w:val="restart"/>
                  <w:noWrap w:val="0"/>
                  <w:vAlign w:val="center"/>
                </w:tcPr>
                <w:p>
                  <w:pPr>
                    <w:jc w:val="center"/>
                    <w:rPr>
                      <w:color w:val="auto"/>
                      <w:szCs w:val="21"/>
                    </w:rPr>
                  </w:pPr>
                  <w:r>
                    <w:rPr>
                      <w:color w:val="auto"/>
                      <w:szCs w:val="21"/>
                    </w:rPr>
                    <w:t>西侧</w:t>
                  </w:r>
                </w:p>
              </w:tc>
              <w:tc>
                <w:tcPr>
                  <w:tcW w:w="868" w:type="pct"/>
                  <w:noWrap w:val="0"/>
                  <w:vAlign w:val="center"/>
                </w:tcPr>
                <w:p>
                  <w:pPr>
                    <w:jc w:val="center"/>
                    <w:rPr>
                      <w:color w:val="auto"/>
                      <w:szCs w:val="21"/>
                    </w:rPr>
                  </w:pPr>
                  <w:r>
                    <w:rPr>
                      <w:color w:val="auto"/>
                      <w:szCs w:val="21"/>
                    </w:rPr>
                    <w:t>昼间</w:t>
                  </w:r>
                </w:p>
              </w:tc>
              <w:tc>
                <w:tcPr>
                  <w:tcW w:w="1045" w:type="pct"/>
                  <w:noWrap w:val="0"/>
                  <w:vAlign w:val="center"/>
                </w:tcPr>
                <w:p>
                  <w:pPr>
                    <w:jc w:val="center"/>
                    <w:rPr>
                      <w:color w:val="auto"/>
                      <w:szCs w:val="21"/>
                    </w:rPr>
                  </w:pPr>
                  <w:r>
                    <w:rPr>
                      <w:color w:val="auto"/>
                      <w:szCs w:val="21"/>
                    </w:rPr>
                    <w:t>53.21</w:t>
                  </w:r>
                </w:p>
              </w:tc>
              <w:tc>
                <w:tcPr>
                  <w:tcW w:w="838" w:type="pct"/>
                  <w:noWrap w:val="0"/>
                  <w:vAlign w:val="center"/>
                </w:tcPr>
                <w:p>
                  <w:pPr>
                    <w:jc w:val="center"/>
                    <w:rPr>
                      <w:color w:val="auto"/>
                      <w:szCs w:val="21"/>
                    </w:rPr>
                  </w:pPr>
                  <w:r>
                    <w:rPr>
                      <w:color w:val="auto"/>
                      <w:szCs w:val="21"/>
                    </w:rPr>
                    <w:t>/</w:t>
                  </w:r>
                </w:p>
              </w:tc>
              <w:tc>
                <w:tcPr>
                  <w:tcW w:w="761" w:type="pct"/>
                  <w:noWrap w:val="0"/>
                  <w:vAlign w:val="center"/>
                </w:tcPr>
                <w:p>
                  <w:pPr>
                    <w:jc w:val="center"/>
                    <w:rPr>
                      <w:color w:val="auto"/>
                      <w:szCs w:val="21"/>
                    </w:rPr>
                  </w:pPr>
                  <w:r>
                    <w:rPr>
                      <w:color w:val="auto"/>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489" w:type="pct"/>
                  <w:vMerge w:val="continue"/>
                  <w:noWrap w:val="0"/>
                  <w:vAlign w:val="center"/>
                </w:tcPr>
                <w:p>
                  <w:pPr>
                    <w:jc w:val="center"/>
                    <w:rPr>
                      <w:color w:val="auto"/>
                      <w:szCs w:val="21"/>
                    </w:rPr>
                  </w:pPr>
                </w:p>
              </w:tc>
              <w:tc>
                <w:tcPr>
                  <w:tcW w:w="868" w:type="pct"/>
                  <w:noWrap w:val="0"/>
                  <w:vAlign w:val="center"/>
                </w:tcPr>
                <w:p>
                  <w:pPr>
                    <w:jc w:val="center"/>
                    <w:rPr>
                      <w:color w:val="auto"/>
                      <w:szCs w:val="21"/>
                    </w:rPr>
                  </w:pPr>
                  <w:r>
                    <w:rPr>
                      <w:color w:val="auto"/>
                      <w:szCs w:val="21"/>
                    </w:rPr>
                    <w:t>夜间</w:t>
                  </w:r>
                </w:p>
              </w:tc>
              <w:tc>
                <w:tcPr>
                  <w:tcW w:w="1045" w:type="pct"/>
                  <w:noWrap w:val="0"/>
                  <w:vAlign w:val="center"/>
                </w:tcPr>
                <w:p>
                  <w:pPr>
                    <w:jc w:val="center"/>
                    <w:rPr>
                      <w:color w:val="auto"/>
                      <w:szCs w:val="21"/>
                    </w:rPr>
                  </w:pPr>
                  <w:r>
                    <w:rPr>
                      <w:color w:val="auto"/>
                      <w:szCs w:val="21"/>
                    </w:rPr>
                    <w:t>53.21</w:t>
                  </w:r>
                </w:p>
              </w:tc>
              <w:tc>
                <w:tcPr>
                  <w:tcW w:w="838" w:type="pct"/>
                  <w:noWrap w:val="0"/>
                  <w:vAlign w:val="center"/>
                </w:tcPr>
                <w:p>
                  <w:pPr>
                    <w:jc w:val="center"/>
                    <w:rPr>
                      <w:color w:val="auto"/>
                      <w:szCs w:val="21"/>
                    </w:rPr>
                  </w:pPr>
                  <w:r>
                    <w:rPr>
                      <w:color w:val="auto"/>
                      <w:szCs w:val="21"/>
                    </w:rPr>
                    <w:t>/</w:t>
                  </w:r>
                </w:p>
              </w:tc>
              <w:tc>
                <w:tcPr>
                  <w:tcW w:w="761" w:type="pct"/>
                  <w:noWrap w:val="0"/>
                  <w:vAlign w:val="center"/>
                </w:tcPr>
                <w:p>
                  <w:pPr>
                    <w:jc w:val="center"/>
                    <w:rPr>
                      <w:color w:val="auto"/>
                      <w:szCs w:val="21"/>
                    </w:rPr>
                  </w:pPr>
                  <w:r>
                    <w:rPr>
                      <w:color w:val="auto"/>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489" w:type="pct"/>
                  <w:vMerge w:val="restart"/>
                  <w:noWrap w:val="0"/>
                  <w:vAlign w:val="center"/>
                </w:tcPr>
                <w:p>
                  <w:pPr>
                    <w:jc w:val="center"/>
                    <w:rPr>
                      <w:color w:val="auto"/>
                      <w:szCs w:val="21"/>
                    </w:rPr>
                  </w:pPr>
                  <w:r>
                    <w:rPr>
                      <w:color w:val="auto"/>
                      <w:szCs w:val="21"/>
                    </w:rPr>
                    <w:t>北侧</w:t>
                  </w:r>
                </w:p>
              </w:tc>
              <w:tc>
                <w:tcPr>
                  <w:tcW w:w="868" w:type="pct"/>
                  <w:noWrap w:val="0"/>
                  <w:vAlign w:val="center"/>
                </w:tcPr>
                <w:p>
                  <w:pPr>
                    <w:jc w:val="center"/>
                    <w:rPr>
                      <w:color w:val="auto"/>
                      <w:szCs w:val="21"/>
                    </w:rPr>
                  </w:pPr>
                  <w:r>
                    <w:rPr>
                      <w:color w:val="auto"/>
                      <w:szCs w:val="21"/>
                    </w:rPr>
                    <w:t>昼间</w:t>
                  </w:r>
                </w:p>
              </w:tc>
              <w:tc>
                <w:tcPr>
                  <w:tcW w:w="1045" w:type="pct"/>
                  <w:noWrap w:val="0"/>
                  <w:vAlign w:val="center"/>
                </w:tcPr>
                <w:p>
                  <w:pPr>
                    <w:jc w:val="center"/>
                    <w:rPr>
                      <w:color w:val="auto"/>
                      <w:szCs w:val="21"/>
                    </w:rPr>
                  </w:pPr>
                  <w:r>
                    <w:rPr>
                      <w:color w:val="auto"/>
                      <w:szCs w:val="21"/>
                    </w:rPr>
                    <w:t>4</w:t>
                  </w:r>
                  <w:r>
                    <w:rPr>
                      <w:rFonts w:hint="eastAsia"/>
                      <w:color w:val="auto"/>
                      <w:szCs w:val="21"/>
                    </w:rPr>
                    <w:t>3</w:t>
                  </w:r>
                  <w:r>
                    <w:rPr>
                      <w:color w:val="auto"/>
                      <w:szCs w:val="21"/>
                    </w:rPr>
                    <w:t>.6</w:t>
                  </w:r>
                  <w:r>
                    <w:rPr>
                      <w:rFonts w:hint="eastAsia"/>
                      <w:color w:val="auto"/>
                      <w:szCs w:val="21"/>
                    </w:rPr>
                    <w:t>5</w:t>
                  </w:r>
                </w:p>
              </w:tc>
              <w:tc>
                <w:tcPr>
                  <w:tcW w:w="838" w:type="pct"/>
                  <w:noWrap w:val="0"/>
                  <w:vAlign w:val="center"/>
                </w:tcPr>
                <w:p>
                  <w:pPr>
                    <w:jc w:val="center"/>
                    <w:rPr>
                      <w:color w:val="auto"/>
                      <w:szCs w:val="21"/>
                    </w:rPr>
                  </w:pPr>
                  <w:r>
                    <w:rPr>
                      <w:color w:val="auto"/>
                      <w:szCs w:val="21"/>
                    </w:rPr>
                    <w:t>/</w:t>
                  </w:r>
                </w:p>
              </w:tc>
              <w:tc>
                <w:tcPr>
                  <w:tcW w:w="761" w:type="pct"/>
                  <w:noWrap w:val="0"/>
                  <w:vAlign w:val="center"/>
                </w:tcPr>
                <w:p>
                  <w:pPr>
                    <w:jc w:val="center"/>
                    <w:rPr>
                      <w:color w:val="auto"/>
                      <w:szCs w:val="21"/>
                    </w:rPr>
                  </w:pPr>
                  <w:r>
                    <w:rPr>
                      <w:color w:val="auto"/>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489" w:type="pct"/>
                  <w:vMerge w:val="continue"/>
                  <w:noWrap w:val="0"/>
                  <w:vAlign w:val="center"/>
                </w:tcPr>
                <w:p>
                  <w:pPr>
                    <w:jc w:val="center"/>
                    <w:rPr>
                      <w:color w:val="auto"/>
                      <w:szCs w:val="21"/>
                    </w:rPr>
                  </w:pPr>
                </w:p>
              </w:tc>
              <w:tc>
                <w:tcPr>
                  <w:tcW w:w="868" w:type="pct"/>
                  <w:noWrap w:val="0"/>
                  <w:vAlign w:val="center"/>
                </w:tcPr>
                <w:p>
                  <w:pPr>
                    <w:jc w:val="center"/>
                    <w:rPr>
                      <w:color w:val="auto"/>
                      <w:szCs w:val="21"/>
                    </w:rPr>
                  </w:pPr>
                  <w:r>
                    <w:rPr>
                      <w:color w:val="auto"/>
                      <w:szCs w:val="21"/>
                    </w:rPr>
                    <w:t>夜间</w:t>
                  </w:r>
                </w:p>
              </w:tc>
              <w:tc>
                <w:tcPr>
                  <w:tcW w:w="1045" w:type="pct"/>
                  <w:noWrap w:val="0"/>
                  <w:vAlign w:val="center"/>
                </w:tcPr>
                <w:p>
                  <w:pPr>
                    <w:jc w:val="center"/>
                    <w:rPr>
                      <w:color w:val="auto"/>
                      <w:szCs w:val="21"/>
                    </w:rPr>
                  </w:pPr>
                  <w:r>
                    <w:rPr>
                      <w:color w:val="auto"/>
                      <w:szCs w:val="21"/>
                    </w:rPr>
                    <w:t>4</w:t>
                  </w:r>
                  <w:r>
                    <w:rPr>
                      <w:rFonts w:hint="eastAsia"/>
                      <w:color w:val="auto"/>
                      <w:szCs w:val="21"/>
                    </w:rPr>
                    <w:t>3</w:t>
                  </w:r>
                  <w:r>
                    <w:rPr>
                      <w:color w:val="auto"/>
                      <w:szCs w:val="21"/>
                    </w:rPr>
                    <w:t>.6</w:t>
                  </w:r>
                  <w:r>
                    <w:rPr>
                      <w:rFonts w:hint="eastAsia"/>
                      <w:color w:val="auto"/>
                      <w:szCs w:val="21"/>
                    </w:rPr>
                    <w:t>5</w:t>
                  </w:r>
                </w:p>
              </w:tc>
              <w:tc>
                <w:tcPr>
                  <w:tcW w:w="838" w:type="pct"/>
                  <w:noWrap w:val="0"/>
                  <w:vAlign w:val="center"/>
                </w:tcPr>
                <w:p>
                  <w:pPr>
                    <w:jc w:val="center"/>
                    <w:rPr>
                      <w:color w:val="auto"/>
                      <w:szCs w:val="21"/>
                    </w:rPr>
                  </w:pPr>
                  <w:r>
                    <w:rPr>
                      <w:color w:val="auto"/>
                      <w:szCs w:val="21"/>
                    </w:rPr>
                    <w:t>/</w:t>
                  </w:r>
                </w:p>
              </w:tc>
              <w:tc>
                <w:tcPr>
                  <w:tcW w:w="761" w:type="pct"/>
                  <w:noWrap w:val="0"/>
                  <w:vAlign w:val="center"/>
                </w:tcPr>
                <w:p>
                  <w:pPr>
                    <w:jc w:val="center"/>
                    <w:rPr>
                      <w:color w:val="auto"/>
                      <w:szCs w:val="21"/>
                    </w:rPr>
                  </w:pPr>
                  <w:r>
                    <w:rPr>
                      <w:color w:val="auto"/>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489" w:type="pct"/>
                  <w:vMerge w:val="restart"/>
                  <w:noWrap w:val="0"/>
                  <w:vAlign w:val="center"/>
                </w:tcPr>
                <w:p>
                  <w:pPr>
                    <w:jc w:val="center"/>
                    <w:rPr>
                      <w:color w:val="auto"/>
                      <w:szCs w:val="21"/>
                    </w:rPr>
                  </w:pPr>
                  <w:r>
                    <w:rPr>
                      <w:rFonts w:hint="eastAsia" w:hAnsi="宋体"/>
                      <w:color w:val="auto"/>
                    </w:rPr>
                    <w:t>南侧居民</w:t>
                  </w:r>
                </w:p>
              </w:tc>
              <w:tc>
                <w:tcPr>
                  <w:tcW w:w="868" w:type="pct"/>
                  <w:noWrap w:val="0"/>
                  <w:vAlign w:val="center"/>
                </w:tcPr>
                <w:p>
                  <w:pPr>
                    <w:jc w:val="center"/>
                    <w:rPr>
                      <w:color w:val="auto"/>
                      <w:szCs w:val="21"/>
                    </w:rPr>
                  </w:pPr>
                  <w:r>
                    <w:rPr>
                      <w:color w:val="auto"/>
                      <w:szCs w:val="21"/>
                    </w:rPr>
                    <w:t>昼间</w:t>
                  </w:r>
                </w:p>
              </w:tc>
              <w:tc>
                <w:tcPr>
                  <w:tcW w:w="1045" w:type="pct"/>
                  <w:noWrap w:val="0"/>
                  <w:vAlign w:val="center"/>
                </w:tcPr>
                <w:p>
                  <w:pPr>
                    <w:jc w:val="center"/>
                    <w:rPr>
                      <w:color w:val="auto"/>
                      <w:szCs w:val="21"/>
                    </w:rPr>
                  </w:pPr>
                  <w:r>
                    <w:rPr>
                      <w:color w:val="auto"/>
                      <w:szCs w:val="21"/>
                    </w:rPr>
                    <w:t>4</w:t>
                  </w:r>
                  <w:r>
                    <w:rPr>
                      <w:rFonts w:hint="eastAsia"/>
                      <w:color w:val="auto"/>
                      <w:szCs w:val="21"/>
                    </w:rPr>
                    <w:t>2</w:t>
                  </w:r>
                  <w:r>
                    <w:rPr>
                      <w:color w:val="auto"/>
                      <w:szCs w:val="21"/>
                    </w:rPr>
                    <w:t>.3</w:t>
                  </w:r>
                  <w:r>
                    <w:rPr>
                      <w:rFonts w:hint="eastAsia"/>
                      <w:color w:val="auto"/>
                      <w:szCs w:val="21"/>
                    </w:rPr>
                    <w:t>5</w:t>
                  </w:r>
                </w:p>
              </w:tc>
              <w:tc>
                <w:tcPr>
                  <w:tcW w:w="838" w:type="pct"/>
                  <w:noWrap w:val="0"/>
                  <w:vAlign w:val="center"/>
                </w:tcPr>
                <w:p>
                  <w:pPr>
                    <w:jc w:val="center"/>
                    <w:rPr>
                      <w:color w:val="auto"/>
                      <w:szCs w:val="21"/>
                    </w:rPr>
                  </w:pPr>
                  <w:r>
                    <w:rPr>
                      <w:rFonts w:hint="eastAsia"/>
                      <w:color w:val="auto"/>
                      <w:szCs w:val="21"/>
                    </w:rPr>
                    <w:t>51</w:t>
                  </w:r>
                </w:p>
              </w:tc>
              <w:tc>
                <w:tcPr>
                  <w:tcW w:w="761" w:type="pct"/>
                  <w:noWrap w:val="0"/>
                  <w:vAlign w:val="center"/>
                </w:tcPr>
                <w:p>
                  <w:pPr>
                    <w:jc w:val="center"/>
                    <w:rPr>
                      <w:color w:val="auto"/>
                      <w:szCs w:val="21"/>
                    </w:rPr>
                  </w:pPr>
                  <w:r>
                    <w:rPr>
                      <w:rFonts w:hint="eastAsia"/>
                      <w:color w:val="auto"/>
                      <w:szCs w:val="21"/>
                    </w:rPr>
                    <w:t>51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489" w:type="pct"/>
                  <w:vMerge w:val="continue"/>
                  <w:noWrap w:val="0"/>
                  <w:vAlign w:val="center"/>
                </w:tcPr>
                <w:p>
                  <w:pPr>
                    <w:jc w:val="center"/>
                    <w:rPr>
                      <w:color w:val="auto"/>
                      <w:szCs w:val="21"/>
                    </w:rPr>
                  </w:pPr>
                </w:p>
              </w:tc>
              <w:tc>
                <w:tcPr>
                  <w:tcW w:w="868" w:type="pct"/>
                  <w:noWrap w:val="0"/>
                  <w:vAlign w:val="center"/>
                </w:tcPr>
                <w:p>
                  <w:pPr>
                    <w:jc w:val="center"/>
                    <w:rPr>
                      <w:color w:val="auto"/>
                      <w:szCs w:val="21"/>
                    </w:rPr>
                  </w:pPr>
                  <w:r>
                    <w:rPr>
                      <w:color w:val="auto"/>
                      <w:szCs w:val="21"/>
                    </w:rPr>
                    <w:t>夜间</w:t>
                  </w:r>
                </w:p>
              </w:tc>
              <w:tc>
                <w:tcPr>
                  <w:tcW w:w="1045" w:type="pct"/>
                  <w:noWrap w:val="0"/>
                  <w:vAlign w:val="center"/>
                </w:tcPr>
                <w:p>
                  <w:pPr>
                    <w:jc w:val="center"/>
                    <w:rPr>
                      <w:color w:val="auto"/>
                      <w:szCs w:val="21"/>
                    </w:rPr>
                  </w:pPr>
                  <w:r>
                    <w:rPr>
                      <w:color w:val="auto"/>
                      <w:szCs w:val="21"/>
                    </w:rPr>
                    <w:t>4</w:t>
                  </w:r>
                  <w:r>
                    <w:rPr>
                      <w:rFonts w:hint="eastAsia"/>
                      <w:color w:val="auto"/>
                      <w:szCs w:val="21"/>
                    </w:rPr>
                    <w:t>2</w:t>
                  </w:r>
                  <w:r>
                    <w:rPr>
                      <w:color w:val="auto"/>
                      <w:szCs w:val="21"/>
                    </w:rPr>
                    <w:t>.3</w:t>
                  </w:r>
                  <w:r>
                    <w:rPr>
                      <w:rFonts w:hint="eastAsia"/>
                      <w:color w:val="auto"/>
                      <w:szCs w:val="21"/>
                    </w:rPr>
                    <w:t>5</w:t>
                  </w:r>
                </w:p>
              </w:tc>
              <w:tc>
                <w:tcPr>
                  <w:tcW w:w="838" w:type="pct"/>
                  <w:noWrap w:val="0"/>
                  <w:vAlign w:val="center"/>
                </w:tcPr>
                <w:p>
                  <w:pPr>
                    <w:jc w:val="center"/>
                    <w:rPr>
                      <w:color w:val="auto"/>
                      <w:szCs w:val="21"/>
                    </w:rPr>
                  </w:pPr>
                  <w:r>
                    <w:rPr>
                      <w:rFonts w:hint="eastAsia"/>
                      <w:color w:val="auto"/>
                      <w:szCs w:val="21"/>
                    </w:rPr>
                    <w:t>41</w:t>
                  </w:r>
                </w:p>
              </w:tc>
              <w:tc>
                <w:tcPr>
                  <w:tcW w:w="761" w:type="pct"/>
                  <w:noWrap w:val="0"/>
                  <w:vAlign w:val="center"/>
                </w:tcPr>
                <w:p>
                  <w:pPr>
                    <w:jc w:val="center"/>
                    <w:rPr>
                      <w:color w:val="auto"/>
                      <w:szCs w:val="21"/>
                    </w:rPr>
                  </w:pPr>
                  <w:r>
                    <w:rPr>
                      <w:rFonts w:hint="eastAsia"/>
                      <w:color w:val="auto"/>
                      <w:szCs w:val="21"/>
                    </w:rPr>
                    <w:t>41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489" w:type="pct"/>
                  <w:vMerge w:val="restart"/>
                  <w:noWrap w:val="0"/>
                  <w:vAlign w:val="center"/>
                </w:tcPr>
                <w:p>
                  <w:pPr>
                    <w:jc w:val="center"/>
                    <w:rPr>
                      <w:color w:val="auto"/>
                      <w:szCs w:val="21"/>
                    </w:rPr>
                  </w:pPr>
                  <w:r>
                    <w:rPr>
                      <w:color w:val="auto"/>
                      <w:szCs w:val="21"/>
                    </w:rPr>
                    <w:t>东侧居民</w:t>
                  </w:r>
                </w:p>
              </w:tc>
              <w:tc>
                <w:tcPr>
                  <w:tcW w:w="868" w:type="pct"/>
                  <w:noWrap w:val="0"/>
                  <w:vAlign w:val="center"/>
                </w:tcPr>
                <w:p>
                  <w:pPr>
                    <w:jc w:val="center"/>
                    <w:rPr>
                      <w:color w:val="auto"/>
                      <w:szCs w:val="21"/>
                    </w:rPr>
                  </w:pPr>
                  <w:r>
                    <w:rPr>
                      <w:color w:val="auto"/>
                      <w:szCs w:val="21"/>
                    </w:rPr>
                    <w:t>昼间</w:t>
                  </w:r>
                </w:p>
              </w:tc>
              <w:tc>
                <w:tcPr>
                  <w:tcW w:w="1045" w:type="pct"/>
                  <w:noWrap w:val="0"/>
                  <w:vAlign w:val="center"/>
                </w:tcPr>
                <w:p>
                  <w:pPr>
                    <w:jc w:val="center"/>
                    <w:rPr>
                      <w:color w:val="auto"/>
                      <w:szCs w:val="21"/>
                    </w:rPr>
                  </w:pPr>
                  <w:r>
                    <w:rPr>
                      <w:color w:val="auto"/>
                      <w:szCs w:val="21"/>
                    </w:rPr>
                    <w:t>3</w:t>
                  </w:r>
                  <w:r>
                    <w:rPr>
                      <w:rFonts w:hint="eastAsia"/>
                      <w:color w:val="auto"/>
                      <w:szCs w:val="21"/>
                    </w:rPr>
                    <w:t>8</w:t>
                  </w:r>
                  <w:r>
                    <w:rPr>
                      <w:color w:val="auto"/>
                      <w:szCs w:val="21"/>
                    </w:rPr>
                    <w:t>.</w:t>
                  </w:r>
                  <w:r>
                    <w:rPr>
                      <w:rFonts w:hint="eastAsia"/>
                      <w:color w:val="auto"/>
                      <w:szCs w:val="21"/>
                    </w:rPr>
                    <w:t>27</w:t>
                  </w:r>
                </w:p>
              </w:tc>
              <w:tc>
                <w:tcPr>
                  <w:tcW w:w="838" w:type="pct"/>
                  <w:noWrap w:val="0"/>
                  <w:vAlign w:val="center"/>
                </w:tcPr>
                <w:p>
                  <w:pPr>
                    <w:jc w:val="center"/>
                    <w:rPr>
                      <w:color w:val="auto"/>
                      <w:szCs w:val="21"/>
                    </w:rPr>
                  </w:pPr>
                  <w:r>
                    <w:rPr>
                      <w:rFonts w:hint="eastAsia"/>
                      <w:color w:val="auto"/>
                      <w:szCs w:val="21"/>
                    </w:rPr>
                    <w:t>52</w:t>
                  </w:r>
                </w:p>
              </w:tc>
              <w:tc>
                <w:tcPr>
                  <w:tcW w:w="761" w:type="pct"/>
                  <w:noWrap w:val="0"/>
                  <w:vAlign w:val="center"/>
                </w:tcPr>
                <w:p>
                  <w:pPr>
                    <w:jc w:val="center"/>
                    <w:rPr>
                      <w:color w:val="auto"/>
                      <w:szCs w:val="21"/>
                    </w:rPr>
                  </w:pPr>
                  <w:r>
                    <w:rPr>
                      <w:rFonts w:hint="eastAsia"/>
                      <w:color w:val="auto"/>
                      <w:szCs w:val="21"/>
                    </w:rPr>
                    <w:t>52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489" w:type="pct"/>
                  <w:vMerge w:val="continue"/>
                  <w:noWrap w:val="0"/>
                  <w:vAlign w:val="center"/>
                </w:tcPr>
                <w:p>
                  <w:pPr>
                    <w:jc w:val="center"/>
                    <w:rPr>
                      <w:color w:val="auto"/>
                      <w:szCs w:val="21"/>
                    </w:rPr>
                  </w:pPr>
                </w:p>
              </w:tc>
              <w:tc>
                <w:tcPr>
                  <w:tcW w:w="868" w:type="pct"/>
                  <w:noWrap w:val="0"/>
                  <w:vAlign w:val="center"/>
                </w:tcPr>
                <w:p>
                  <w:pPr>
                    <w:jc w:val="center"/>
                    <w:rPr>
                      <w:color w:val="auto"/>
                      <w:szCs w:val="21"/>
                    </w:rPr>
                  </w:pPr>
                  <w:r>
                    <w:rPr>
                      <w:color w:val="auto"/>
                      <w:szCs w:val="21"/>
                    </w:rPr>
                    <w:t>夜间</w:t>
                  </w:r>
                </w:p>
              </w:tc>
              <w:tc>
                <w:tcPr>
                  <w:tcW w:w="1045" w:type="pct"/>
                  <w:noWrap w:val="0"/>
                  <w:vAlign w:val="center"/>
                </w:tcPr>
                <w:p>
                  <w:pPr>
                    <w:jc w:val="center"/>
                    <w:rPr>
                      <w:color w:val="auto"/>
                      <w:szCs w:val="21"/>
                    </w:rPr>
                  </w:pPr>
                  <w:r>
                    <w:rPr>
                      <w:color w:val="auto"/>
                      <w:szCs w:val="21"/>
                    </w:rPr>
                    <w:t>3</w:t>
                  </w:r>
                  <w:r>
                    <w:rPr>
                      <w:rFonts w:hint="eastAsia"/>
                      <w:color w:val="auto"/>
                      <w:szCs w:val="21"/>
                    </w:rPr>
                    <w:t>8</w:t>
                  </w:r>
                  <w:r>
                    <w:rPr>
                      <w:color w:val="auto"/>
                      <w:szCs w:val="21"/>
                    </w:rPr>
                    <w:t>.</w:t>
                  </w:r>
                  <w:r>
                    <w:rPr>
                      <w:rFonts w:hint="eastAsia"/>
                      <w:color w:val="auto"/>
                      <w:szCs w:val="21"/>
                    </w:rPr>
                    <w:t>27</w:t>
                  </w:r>
                </w:p>
              </w:tc>
              <w:tc>
                <w:tcPr>
                  <w:tcW w:w="838" w:type="pct"/>
                  <w:noWrap w:val="0"/>
                  <w:vAlign w:val="center"/>
                </w:tcPr>
                <w:p>
                  <w:pPr>
                    <w:jc w:val="center"/>
                    <w:rPr>
                      <w:color w:val="auto"/>
                      <w:szCs w:val="21"/>
                    </w:rPr>
                  </w:pPr>
                  <w:r>
                    <w:rPr>
                      <w:rFonts w:hint="eastAsia"/>
                      <w:color w:val="auto"/>
                      <w:szCs w:val="21"/>
                    </w:rPr>
                    <w:t>41</w:t>
                  </w:r>
                </w:p>
              </w:tc>
              <w:tc>
                <w:tcPr>
                  <w:tcW w:w="761" w:type="pct"/>
                  <w:noWrap w:val="0"/>
                  <w:vAlign w:val="center"/>
                </w:tcPr>
                <w:p>
                  <w:pPr>
                    <w:jc w:val="center"/>
                    <w:rPr>
                      <w:color w:val="auto"/>
                      <w:szCs w:val="21"/>
                    </w:rPr>
                  </w:pPr>
                  <w:r>
                    <w:rPr>
                      <w:rFonts w:hint="eastAsia"/>
                      <w:color w:val="auto"/>
                      <w:szCs w:val="21"/>
                    </w:rPr>
                    <w:t>41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489" w:type="pct"/>
                  <w:vMerge w:val="restart"/>
                  <w:noWrap w:val="0"/>
                  <w:vAlign w:val="center"/>
                </w:tcPr>
                <w:p>
                  <w:pPr>
                    <w:jc w:val="center"/>
                    <w:rPr>
                      <w:color w:val="auto"/>
                      <w:szCs w:val="21"/>
                    </w:rPr>
                  </w:pPr>
                  <w:r>
                    <w:rPr>
                      <w:rFonts w:hint="eastAsia" w:hAnsi="宋体"/>
                      <w:color w:val="auto"/>
                    </w:rPr>
                    <w:t>东南侧居民</w:t>
                  </w:r>
                </w:p>
              </w:tc>
              <w:tc>
                <w:tcPr>
                  <w:tcW w:w="868" w:type="pct"/>
                  <w:noWrap w:val="0"/>
                  <w:vAlign w:val="center"/>
                </w:tcPr>
                <w:p>
                  <w:pPr>
                    <w:jc w:val="center"/>
                    <w:rPr>
                      <w:color w:val="auto"/>
                      <w:szCs w:val="21"/>
                    </w:rPr>
                  </w:pPr>
                  <w:r>
                    <w:rPr>
                      <w:color w:val="auto"/>
                      <w:szCs w:val="21"/>
                    </w:rPr>
                    <w:t>昼间</w:t>
                  </w:r>
                </w:p>
              </w:tc>
              <w:tc>
                <w:tcPr>
                  <w:tcW w:w="1045" w:type="pct"/>
                  <w:noWrap w:val="0"/>
                  <w:vAlign w:val="center"/>
                </w:tcPr>
                <w:p>
                  <w:pPr>
                    <w:jc w:val="center"/>
                    <w:rPr>
                      <w:color w:val="auto"/>
                      <w:szCs w:val="21"/>
                    </w:rPr>
                  </w:pPr>
                  <w:r>
                    <w:rPr>
                      <w:rFonts w:hint="eastAsia"/>
                      <w:color w:val="auto"/>
                      <w:szCs w:val="21"/>
                    </w:rPr>
                    <w:t>37.22</w:t>
                  </w:r>
                </w:p>
              </w:tc>
              <w:tc>
                <w:tcPr>
                  <w:tcW w:w="838" w:type="pct"/>
                  <w:noWrap w:val="0"/>
                  <w:vAlign w:val="center"/>
                </w:tcPr>
                <w:p>
                  <w:pPr>
                    <w:jc w:val="center"/>
                    <w:rPr>
                      <w:color w:val="auto"/>
                      <w:szCs w:val="21"/>
                    </w:rPr>
                  </w:pPr>
                  <w:r>
                    <w:rPr>
                      <w:rFonts w:hint="eastAsia"/>
                      <w:color w:val="auto"/>
                      <w:szCs w:val="21"/>
                    </w:rPr>
                    <w:t>51</w:t>
                  </w:r>
                </w:p>
              </w:tc>
              <w:tc>
                <w:tcPr>
                  <w:tcW w:w="761" w:type="pct"/>
                  <w:noWrap w:val="0"/>
                  <w:vAlign w:val="center"/>
                </w:tcPr>
                <w:p>
                  <w:pPr>
                    <w:jc w:val="center"/>
                    <w:rPr>
                      <w:color w:val="auto"/>
                      <w:szCs w:val="21"/>
                    </w:rPr>
                  </w:pPr>
                  <w:r>
                    <w:rPr>
                      <w:rFonts w:hint="eastAsia"/>
                      <w:color w:val="auto"/>
                      <w:szCs w:val="21"/>
                    </w:rPr>
                    <w:t>51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489" w:type="pct"/>
                  <w:vMerge w:val="continue"/>
                  <w:noWrap w:val="0"/>
                  <w:vAlign w:val="center"/>
                </w:tcPr>
                <w:p>
                  <w:pPr>
                    <w:jc w:val="center"/>
                    <w:rPr>
                      <w:color w:val="auto"/>
                      <w:szCs w:val="21"/>
                    </w:rPr>
                  </w:pPr>
                </w:p>
              </w:tc>
              <w:tc>
                <w:tcPr>
                  <w:tcW w:w="868" w:type="pct"/>
                  <w:noWrap w:val="0"/>
                  <w:vAlign w:val="center"/>
                </w:tcPr>
                <w:p>
                  <w:pPr>
                    <w:jc w:val="center"/>
                    <w:rPr>
                      <w:color w:val="auto"/>
                      <w:szCs w:val="21"/>
                    </w:rPr>
                  </w:pPr>
                  <w:r>
                    <w:rPr>
                      <w:color w:val="auto"/>
                      <w:szCs w:val="21"/>
                    </w:rPr>
                    <w:t>夜间</w:t>
                  </w:r>
                </w:p>
              </w:tc>
              <w:tc>
                <w:tcPr>
                  <w:tcW w:w="1045" w:type="pct"/>
                  <w:noWrap w:val="0"/>
                  <w:vAlign w:val="center"/>
                </w:tcPr>
                <w:p>
                  <w:pPr>
                    <w:jc w:val="center"/>
                    <w:rPr>
                      <w:color w:val="auto"/>
                      <w:szCs w:val="21"/>
                    </w:rPr>
                  </w:pPr>
                  <w:r>
                    <w:rPr>
                      <w:rFonts w:hint="eastAsia"/>
                      <w:color w:val="auto"/>
                      <w:szCs w:val="21"/>
                    </w:rPr>
                    <w:t>37.22</w:t>
                  </w:r>
                </w:p>
              </w:tc>
              <w:tc>
                <w:tcPr>
                  <w:tcW w:w="838" w:type="pct"/>
                  <w:noWrap w:val="0"/>
                  <w:vAlign w:val="center"/>
                </w:tcPr>
                <w:p>
                  <w:pPr>
                    <w:jc w:val="center"/>
                    <w:rPr>
                      <w:color w:val="auto"/>
                      <w:szCs w:val="21"/>
                    </w:rPr>
                  </w:pPr>
                  <w:r>
                    <w:rPr>
                      <w:rFonts w:hint="eastAsia"/>
                      <w:color w:val="auto"/>
                      <w:szCs w:val="21"/>
                    </w:rPr>
                    <w:t>40</w:t>
                  </w:r>
                </w:p>
              </w:tc>
              <w:tc>
                <w:tcPr>
                  <w:tcW w:w="761" w:type="pct"/>
                  <w:noWrap w:val="0"/>
                  <w:vAlign w:val="center"/>
                </w:tcPr>
                <w:p>
                  <w:pPr>
                    <w:jc w:val="center"/>
                    <w:rPr>
                      <w:color w:val="auto"/>
                      <w:szCs w:val="21"/>
                    </w:rPr>
                  </w:pPr>
                  <w:r>
                    <w:rPr>
                      <w:rFonts w:hint="eastAsia"/>
                      <w:color w:val="auto"/>
                      <w:szCs w:val="21"/>
                    </w:rPr>
                    <w:t>40</w:t>
                  </w:r>
                </w:p>
              </w:tc>
            </w:tr>
          </w:tbl>
          <w:p>
            <w:pPr>
              <w:spacing w:line="360" w:lineRule="auto"/>
              <w:ind w:firstLine="480" w:firstLineChars="200"/>
              <w:contextualSpacing/>
              <w:rPr>
                <w:rFonts w:hint="eastAsia"/>
                <w:color w:val="auto"/>
                <w:sz w:val="24"/>
                <w:szCs w:val="20"/>
              </w:rPr>
            </w:pPr>
            <w:r>
              <w:rPr>
                <w:rFonts w:hint="eastAsia" w:hAnsi="宋体"/>
                <w:color w:val="auto"/>
                <w:sz w:val="24"/>
              </w:rPr>
              <w:t>本项目选用低噪声设备，厂房隔声、加装减振等措施。</w:t>
            </w:r>
            <w:r>
              <w:rPr>
                <w:rFonts w:hint="eastAsia"/>
                <w:bCs/>
                <w:color w:val="auto"/>
                <w:sz w:val="24"/>
              </w:rPr>
              <w:t>厂界满足</w:t>
            </w:r>
            <w:r>
              <w:rPr>
                <w:bCs/>
                <w:color w:val="auto"/>
                <w:sz w:val="24"/>
              </w:rPr>
              <w:t>《工业企业厂界环境噪声排放标准》（GB12348-2008）</w:t>
            </w:r>
            <w:r>
              <w:rPr>
                <w:rFonts w:hint="eastAsia"/>
                <w:bCs/>
                <w:color w:val="auto"/>
                <w:sz w:val="24"/>
              </w:rPr>
              <w:t>中2</w:t>
            </w:r>
            <w:r>
              <w:rPr>
                <w:bCs/>
                <w:color w:val="auto"/>
                <w:sz w:val="24"/>
              </w:rPr>
              <w:t>类标准</w:t>
            </w:r>
            <w:r>
              <w:rPr>
                <w:rFonts w:hint="eastAsia"/>
                <w:bCs/>
                <w:color w:val="auto"/>
                <w:sz w:val="24"/>
              </w:rPr>
              <w:t>；敏感点噪声预测值满足</w:t>
            </w:r>
            <w:r>
              <w:rPr>
                <w:color w:val="auto"/>
                <w:sz w:val="24"/>
                <w:szCs w:val="20"/>
              </w:rPr>
              <w:t>《声环境质量标准》（GB3096-2008）中</w:t>
            </w:r>
            <w:r>
              <w:rPr>
                <w:rFonts w:hint="eastAsia"/>
                <w:color w:val="auto"/>
                <w:sz w:val="24"/>
                <w:szCs w:val="20"/>
              </w:rPr>
              <w:t>2</w:t>
            </w:r>
            <w:r>
              <w:rPr>
                <w:color w:val="auto"/>
                <w:sz w:val="24"/>
                <w:szCs w:val="20"/>
              </w:rPr>
              <w:t>类标准。</w:t>
            </w:r>
          </w:p>
          <w:p>
            <w:pPr>
              <w:spacing w:line="360" w:lineRule="auto"/>
              <w:ind w:firstLine="482" w:firstLineChars="200"/>
              <w:contextualSpacing/>
              <w:rPr>
                <w:bCs/>
                <w:color w:val="auto"/>
                <w:sz w:val="24"/>
              </w:rPr>
            </w:pPr>
            <w:r>
              <w:rPr>
                <w:b/>
                <w:bCs/>
                <w:color w:val="auto"/>
                <w:sz w:val="24"/>
              </w:rPr>
              <w:t>（四）固废</w:t>
            </w:r>
          </w:p>
          <w:p>
            <w:pPr>
              <w:spacing w:line="360" w:lineRule="auto"/>
              <w:ind w:firstLine="480" w:firstLineChars="200"/>
              <w:contextualSpacing/>
              <w:rPr>
                <w:bCs/>
                <w:color w:val="auto"/>
                <w:sz w:val="24"/>
              </w:rPr>
            </w:pPr>
            <w:r>
              <w:rPr>
                <w:bCs/>
                <w:color w:val="auto"/>
                <w:sz w:val="24"/>
              </w:rPr>
              <w:t>1、固体废弃物产生情况</w:t>
            </w:r>
          </w:p>
          <w:p>
            <w:pPr>
              <w:spacing w:line="360" w:lineRule="auto"/>
              <w:ind w:firstLine="480" w:firstLineChars="200"/>
              <w:rPr>
                <w:color w:val="auto"/>
                <w:sz w:val="24"/>
              </w:rPr>
            </w:pPr>
            <w:r>
              <w:rPr>
                <w:color w:val="auto"/>
                <w:sz w:val="24"/>
              </w:rPr>
              <w:t>本项目运营期产生的固体废物主要为</w:t>
            </w:r>
            <w:r>
              <w:rPr>
                <w:rFonts w:hint="eastAsia" w:hAnsi="宋体"/>
                <w:bCs/>
                <w:color w:val="auto"/>
                <w:sz w:val="24"/>
              </w:rPr>
              <w:t>生活垃圾（SW64代码900-099-S64）、</w:t>
            </w:r>
            <w:r>
              <w:rPr>
                <w:color w:val="auto"/>
                <w:sz w:val="24"/>
              </w:rPr>
              <w:t>锰砂废料</w:t>
            </w:r>
            <w:r>
              <w:rPr>
                <w:rFonts w:hint="eastAsia" w:hAnsi="宋体"/>
                <w:bCs/>
                <w:color w:val="auto"/>
                <w:sz w:val="24"/>
              </w:rPr>
              <w:t>（SW59代码900-009-S59）</w:t>
            </w:r>
            <w:r>
              <w:rPr>
                <w:color w:val="auto"/>
                <w:sz w:val="24"/>
              </w:rPr>
              <w:t>、废布袋</w:t>
            </w:r>
            <w:r>
              <w:rPr>
                <w:rFonts w:hint="eastAsia" w:hAnsi="宋体"/>
                <w:bCs/>
                <w:color w:val="auto"/>
                <w:sz w:val="24"/>
              </w:rPr>
              <w:t>（SW59代码900-009-S59）</w:t>
            </w:r>
            <w:r>
              <w:rPr>
                <w:rFonts w:hint="eastAsia"/>
                <w:color w:val="auto"/>
                <w:sz w:val="24"/>
              </w:rPr>
              <w:t>、锅炉灰渣</w:t>
            </w:r>
            <w:r>
              <w:rPr>
                <w:rFonts w:hint="eastAsia" w:hAnsi="宋体"/>
                <w:bCs/>
                <w:color w:val="auto"/>
                <w:sz w:val="24"/>
              </w:rPr>
              <w:t>（SW03代码900-099-S03）、布袋除尘器收集的除尘灰（SW59代码900-009-S59）。</w:t>
            </w:r>
          </w:p>
          <w:p>
            <w:pPr>
              <w:spacing w:line="360" w:lineRule="auto"/>
              <w:ind w:firstLine="480" w:firstLineChars="200"/>
              <w:rPr>
                <w:rFonts w:hint="eastAsia"/>
                <w:color w:val="auto"/>
                <w:sz w:val="24"/>
              </w:rPr>
            </w:pPr>
            <w:r>
              <w:rPr>
                <w:rFonts w:hint="eastAsia"/>
                <w:color w:val="auto"/>
                <w:sz w:val="24"/>
              </w:rPr>
              <w:t>（1）生活垃圾</w:t>
            </w:r>
          </w:p>
          <w:p>
            <w:pPr>
              <w:spacing w:line="360" w:lineRule="auto"/>
              <w:ind w:firstLine="480" w:firstLineChars="200"/>
              <w:rPr>
                <w:rFonts w:hint="eastAsia"/>
                <w:color w:val="auto"/>
                <w:sz w:val="24"/>
              </w:rPr>
            </w:pPr>
            <w:r>
              <w:rPr>
                <w:rFonts w:hAnsi="宋体"/>
                <w:color w:val="auto"/>
                <w:sz w:val="24"/>
              </w:rPr>
              <w:t>本项目生活垃圾按照</w:t>
            </w:r>
            <w:r>
              <w:rPr>
                <w:color w:val="auto"/>
                <w:sz w:val="24"/>
              </w:rPr>
              <w:t>0.4kg/</w:t>
            </w:r>
            <w:r>
              <w:rPr>
                <w:rFonts w:hAnsi="宋体"/>
                <w:color w:val="auto"/>
                <w:sz w:val="24"/>
              </w:rPr>
              <w:t>人</w:t>
            </w:r>
            <w:r>
              <w:rPr>
                <w:color w:val="auto"/>
                <w:sz w:val="24"/>
              </w:rPr>
              <w:t>•d</w:t>
            </w:r>
            <w:r>
              <w:rPr>
                <w:rFonts w:hAnsi="宋体"/>
                <w:color w:val="auto"/>
                <w:sz w:val="24"/>
              </w:rPr>
              <w:t>计算，职工</w:t>
            </w:r>
            <w:r>
              <w:rPr>
                <w:rFonts w:hint="eastAsia"/>
                <w:color w:val="auto"/>
                <w:sz w:val="24"/>
              </w:rPr>
              <w:t>4</w:t>
            </w:r>
            <w:r>
              <w:rPr>
                <w:rFonts w:hAnsi="宋体"/>
                <w:color w:val="auto"/>
                <w:sz w:val="24"/>
              </w:rPr>
              <w:t>人，生活垃圾量为</w:t>
            </w:r>
            <w:r>
              <w:rPr>
                <w:rFonts w:hint="eastAsia"/>
                <w:color w:val="auto"/>
                <w:sz w:val="24"/>
              </w:rPr>
              <w:t>0.29</w:t>
            </w:r>
            <w:r>
              <w:rPr>
                <w:color w:val="auto"/>
                <w:sz w:val="24"/>
              </w:rPr>
              <w:t>t/a</w:t>
            </w:r>
            <w:r>
              <w:rPr>
                <w:rFonts w:hAnsi="宋体"/>
                <w:color w:val="auto"/>
                <w:sz w:val="24"/>
              </w:rPr>
              <w:t>，由市政部门统一处理。</w:t>
            </w:r>
          </w:p>
          <w:p>
            <w:pPr>
              <w:spacing w:line="360" w:lineRule="auto"/>
              <w:ind w:firstLine="480" w:firstLineChars="200"/>
              <w:rPr>
                <w:color w:val="auto"/>
                <w:sz w:val="24"/>
              </w:rPr>
            </w:pPr>
            <w:r>
              <w:rPr>
                <w:rFonts w:hint="eastAsia"/>
                <w:color w:val="auto"/>
                <w:sz w:val="24"/>
              </w:rPr>
              <w:t>（2）</w:t>
            </w:r>
            <w:r>
              <w:rPr>
                <w:color w:val="auto"/>
                <w:sz w:val="24"/>
              </w:rPr>
              <w:t>锰砂废料</w:t>
            </w:r>
          </w:p>
          <w:p>
            <w:pPr>
              <w:spacing w:line="360" w:lineRule="auto"/>
              <w:ind w:firstLine="480" w:firstLineChars="200"/>
              <w:rPr>
                <w:color w:val="auto"/>
                <w:sz w:val="24"/>
              </w:rPr>
            </w:pPr>
            <w:r>
              <w:rPr>
                <w:color w:val="auto"/>
                <w:sz w:val="24"/>
              </w:rPr>
              <w:t>锰砂滤料</w:t>
            </w:r>
            <w:r>
              <w:rPr>
                <w:rFonts w:hint="eastAsia"/>
                <w:color w:val="auto"/>
                <w:sz w:val="24"/>
              </w:rPr>
              <w:t>三年更换一次，产生量约为0.2t/3a，交由市政部门统一处理。</w:t>
            </w:r>
          </w:p>
          <w:p>
            <w:pPr>
              <w:spacing w:line="360" w:lineRule="auto"/>
              <w:ind w:firstLine="480" w:firstLineChars="200"/>
              <w:rPr>
                <w:color w:val="auto"/>
                <w:sz w:val="24"/>
              </w:rPr>
            </w:pPr>
            <w:r>
              <w:rPr>
                <w:rFonts w:hint="eastAsia"/>
                <w:color w:val="auto"/>
                <w:sz w:val="24"/>
              </w:rPr>
              <w:t>（3）废布袋</w:t>
            </w:r>
          </w:p>
          <w:p>
            <w:pPr>
              <w:spacing w:line="360" w:lineRule="auto"/>
              <w:ind w:firstLine="480" w:firstLineChars="200"/>
              <w:rPr>
                <w:color w:val="auto"/>
                <w:sz w:val="24"/>
              </w:rPr>
            </w:pPr>
            <w:r>
              <w:rPr>
                <w:rFonts w:hint="eastAsia"/>
                <w:color w:val="auto"/>
                <w:sz w:val="24"/>
              </w:rPr>
              <w:t>废布袋3年更换一次，产生量约为0.5t/3a，由除尘器厂家更换后直接带走。</w:t>
            </w:r>
          </w:p>
          <w:p>
            <w:pPr>
              <w:spacing w:line="360" w:lineRule="auto"/>
              <w:ind w:firstLine="480" w:firstLineChars="200"/>
              <w:rPr>
                <w:color w:val="auto"/>
                <w:sz w:val="24"/>
              </w:rPr>
            </w:pPr>
            <w:r>
              <w:rPr>
                <w:rFonts w:hint="eastAsia"/>
                <w:color w:val="auto"/>
                <w:sz w:val="24"/>
              </w:rPr>
              <w:t>（4）灰渣</w:t>
            </w:r>
          </w:p>
          <w:p>
            <w:pPr>
              <w:spacing w:line="360" w:lineRule="auto"/>
              <w:ind w:firstLine="480" w:firstLineChars="200"/>
              <w:rPr>
                <w:color w:val="auto"/>
                <w:sz w:val="24"/>
              </w:rPr>
            </w:pPr>
            <w:r>
              <w:rPr>
                <w:rFonts w:hint="eastAsia"/>
                <w:color w:val="auto"/>
                <w:sz w:val="24"/>
              </w:rPr>
              <w:t>灰渣</w:t>
            </w:r>
            <w:r>
              <w:rPr>
                <w:color w:val="auto"/>
                <w:sz w:val="24"/>
              </w:rPr>
              <w:t>产生量根据《污染源源强核算技术指南—锅炉》（HJ991-2018）中固体废物源强</w:t>
            </w:r>
            <w:r>
              <w:rPr>
                <w:rFonts w:hint="eastAsia"/>
                <w:color w:val="auto"/>
                <w:sz w:val="24"/>
              </w:rPr>
              <w:t>进行</w:t>
            </w:r>
            <w:r>
              <w:rPr>
                <w:color w:val="auto"/>
                <w:sz w:val="24"/>
              </w:rPr>
              <w:t>核算。</w:t>
            </w:r>
          </w:p>
          <w:p>
            <w:pPr>
              <w:spacing w:line="360" w:lineRule="auto"/>
              <w:ind w:firstLine="480" w:firstLineChars="200"/>
              <w:jc w:val="center"/>
              <w:rPr>
                <w:color w:val="auto"/>
                <w:sz w:val="24"/>
              </w:rPr>
            </w:pPr>
            <w:r>
              <w:rPr>
                <w:color w:val="auto"/>
                <w:sz w:val="24"/>
              </w:rPr>
              <w:t>E</w:t>
            </w:r>
            <w:r>
              <w:rPr>
                <w:color w:val="auto"/>
                <w:sz w:val="24"/>
                <w:vertAlign w:val="subscript"/>
              </w:rPr>
              <w:t>hz</w:t>
            </w:r>
            <w:r>
              <w:rPr>
                <w:color w:val="auto"/>
                <w:sz w:val="24"/>
              </w:rPr>
              <w:t>=R</w:t>
            </w:r>
            <w:r>
              <w:rPr>
                <w:color w:val="auto"/>
                <w:position w:val="-6"/>
              </w:rPr>
              <w:drawing>
                <wp:inline distT="0" distB="0" distL="114300" distR="114300">
                  <wp:extent cx="95885" cy="189230"/>
                  <wp:effectExtent l="0" t="0" r="10795" b="10795"/>
                  <wp:docPr id="149"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25"/>
                          <pic:cNvPicPr>
                            <a:picLocks noChangeAspect="1"/>
                          </pic:cNvPicPr>
                        </pic:nvPicPr>
                        <pic:blipFill>
                          <a:blip r:embed="rId28">
                            <a:clrChange>
                              <a:clrFrom>
                                <a:srgbClr val="FFFFFF"/>
                              </a:clrFrom>
                              <a:clrTo>
                                <a:srgbClr val="FFFFFF">
                                  <a:alpha val="0"/>
                                </a:srgbClr>
                              </a:clrTo>
                            </a:clrChange>
                          </a:blip>
                          <a:stretch>
                            <a:fillRect/>
                          </a:stretch>
                        </pic:blipFill>
                        <pic:spPr>
                          <a:xfrm>
                            <a:off x="0" y="0"/>
                            <a:ext cx="95885" cy="189230"/>
                          </a:xfrm>
                          <a:prstGeom prst="rect">
                            <a:avLst/>
                          </a:prstGeom>
                          <a:noFill/>
                          <a:ln>
                            <a:noFill/>
                          </a:ln>
                        </pic:spPr>
                      </pic:pic>
                    </a:graphicData>
                  </a:graphic>
                </wp:inline>
              </w:drawing>
            </w:r>
            <w:r>
              <w:rPr>
                <w:color w:val="auto"/>
                <w:sz w:val="28"/>
                <w:szCs w:val="28"/>
              </w:rPr>
              <w:t xml:space="preserve">（ </w:t>
            </w:r>
            <w:r>
              <w:rPr>
                <w:color w:val="auto"/>
                <w:sz w:val="28"/>
                <w:szCs w:val="28"/>
              </w:rPr>
              <w:fldChar w:fldCharType="begin"/>
            </w:r>
            <w:r>
              <w:rPr>
                <w:color w:val="auto"/>
                <w:sz w:val="28"/>
                <w:szCs w:val="28"/>
              </w:rPr>
              <w:instrText xml:space="preserve"> QUOTE </w:instrText>
            </w:r>
            <w:r>
              <w:rPr>
                <w:color w:val="auto"/>
                <w:position w:val="-15"/>
              </w:rPr>
              <w:pict>
                <v:shape id="_x0000_i1025" o:spt="75" type="#_x0000_t75" style="height:24pt;width:17.2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stylePaneFormatFilter w:val=&quot;3F01&quot;/&gt;&lt;w:documentProtection w:edit=&quot;tracked-changes&quot; w:enforcement=&quot;off&quot;/&gt;&lt;w:defaultTabStop w:val=&quot;420&quot;/&gt;&lt;w:characterSpacingControl w:val=&quot;DontCompress&quot;/&gt;&lt;w:webPageEncoding w:val=&quot;x-cp20936&quot;/&gt;&lt;w:optimizeForBrowser/&gt;&lt;w:validateAgainstSchema/&gt;&lt;w:saveInvalidXML w:val=&quot;off&quot;/&gt;&lt;w:ignoreMixedContent w:val=&quot;off&quot;/&gt;&lt;w:alwaysShowPlaceholderText w:val=&quot;off&quot;/&gt;&lt;w:compat&gt;&lt;w:balanceSingleByteDoubleByteWidth/&gt;&lt;w:ulTrailSpace/&gt;&lt;w:doNotExpandShiftReturn/&gt;&lt;w:adjustLineHeightInTable/&gt;&lt;w:breakWrappedTables/&gt;&lt;w:snapToGridInCell/&gt;&lt;w:dontGrowAutofit/&gt;&lt;w:useFELayout/&gt;&lt;/w:compat&gt;&lt;w:docVars&gt;&lt;w:docVar w:name=&quot;commondata&quot; w:val=&quot;eyJoZGlkIjoiMjI5NmZiYjc0MzdhMzA3NzNhM2UwOTFhMjljNjgzNDAifQ==&quot;/&gt;&lt;/w:docVars&gt;&lt;wsp:rsids&gt;&lt;wsp:rsidRoot wsp:val=&quot;00A14947&quot;/&gt;&lt;wsp:rsid wsp:val=&quot;0000070D&quot;/&gt;&lt;wsp:rsid wsp:val=&quot;00000718&quot;/&gt;&lt;wsp:rsid wsp:val=&quot;000010EF&quot;/&gt;&lt;wsp:rsid wsp:val=&quot;00001EE4&quot;/&gt;&lt;wsp:rsid wsp:val=&quot;00002D64&quot;/&gt;&lt;wsp:rsid wsp:val=&quot;00003EE0&quot;/&gt;&lt;wsp:rsid wsp:val=&quot;00005593&quot;/&gt;&lt;wsp:rsid wsp:val=&quot;000060B3&quot;/&gt;&lt;wsp:rsid wsp:val=&quot;00010066&quot;/&gt;&lt;wsp:rsid wsp:val=&quot;00012959&quot;/&gt;&lt;wsp:rsid wsp:val=&quot;00014BF1&quot;/&gt;&lt;wsp:rsid wsp:val=&quot;00015405&quot;/&gt;&lt;wsp:rsid wsp:val=&quot;0001681B&quot;/&gt;&lt;wsp:rsid wsp:val=&quot;0002034C&quot;/&gt;&lt;wsp:rsid wsp:val=&quot;000245D8&quot;/&gt;&lt;wsp:rsid wsp:val=&quot;00031513&quot;/&gt;&lt;wsp:rsid wsp:val=&quot;00036DA1&quot;/&gt;&lt;wsp:rsid wsp:val=&quot;00041039&quot;/&gt;&lt;wsp:rsid wsp:val=&quot;0004188E&quot;/&gt;&lt;wsp:rsid wsp:val=&quot;0004364B&quot;/&gt;&lt;wsp:rsid wsp:val=&quot;00043CFF&quot;/&gt;&lt;wsp:rsid wsp:val=&quot;0005244D&quot;/&gt;&lt;wsp:rsid wsp:val=&quot;00056DBE&quot;/&gt;&lt;wsp:rsid wsp:val=&quot;00060BBB&quot;/&gt;&lt;wsp:rsid wsp:val=&quot;00061B1F&quot;/&gt;&lt;wsp:rsid wsp:val=&quot;0006236C&quot;/&gt;&lt;wsp:rsid wsp:val=&quot;00063A72&quot;/&gt;&lt;wsp:rsid wsp:val=&quot;00065CFE&quot;/&gt;&lt;wsp:rsid wsp:val=&quot;00066766&quot;/&gt;&lt;wsp:rsid wsp:val=&quot;00067AA7&quot;/&gt;&lt;wsp:rsid wsp:val=&quot;000730CB&quot;/&gt;&lt;wsp:rsid wsp:val=&quot;000733C4&quot;/&gt;&lt;wsp:rsid wsp:val=&quot;00074783&quot;/&gt;&lt;wsp:rsid wsp:val=&quot;000804DD&quot;/&gt;&lt;wsp:rsid wsp:val=&quot;0008070B&quot;/&gt;&lt;wsp:rsid wsp:val=&quot;000810AC&quot;/&gt;&lt;wsp:rsid wsp:val=&quot;00081A02&quot;/&gt;&lt;wsp:rsid wsp:val=&quot;00082231&quot;/&gt;&lt;wsp:rsid wsp:val=&quot;00085255&quot;/&gt;&lt;wsp:rsid wsp:val=&quot;00086BAB&quot;/&gt;&lt;wsp:rsid wsp:val=&quot;00092D30&quot;/&gt;&lt;wsp:rsid wsp:val=&quot;00092D38&quot;/&gt;&lt;wsp:rsid wsp:val=&quot;000933A5&quot;/&gt;&lt;wsp:rsid wsp:val=&quot;00093660&quot;/&gt;&lt;wsp:rsid wsp:val=&quot;00093719&quot;/&gt;&lt;wsp:rsid wsp:val=&quot;0009377B&quot;/&gt;&lt;wsp:rsid wsp:val=&quot;00093D7F&quot;/&gt;&lt;wsp:rsid wsp:val=&quot;000A03D2&quot;/&gt;&lt;wsp:rsid wsp:val=&quot;000A0696&quot;/&gt;&lt;wsp:rsid wsp:val=&quot;000A20C9&quot;/&gt;&lt;wsp:rsid wsp:val=&quot;000A6116&quot;/&gt;&lt;wsp:rsid wsp:val=&quot;000B058F&quot;/&gt;&lt;wsp:rsid wsp:val=&quot;000B1A31&quot;/&gt;&lt;wsp:rsid wsp:val=&quot;000B4467&quot;/&gt;&lt;wsp:rsid wsp:val=&quot;000B46C8&quot;/&gt;&lt;wsp:rsid wsp:val=&quot;000B4DB9&quot;/&gt;&lt;wsp:rsid wsp:val=&quot;000B5271&quot;/&gt;&lt;wsp:rsid wsp:val=&quot;000C09AC&quot;/&gt;&lt;wsp:rsid wsp:val=&quot;000C3F30&quot;/&gt;&lt;wsp:rsid wsp:val=&quot;000C569A&quot;/&gt;&lt;wsp:rsid wsp:val=&quot;000C5B85&quot;/&gt;&lt;wsp:rsid wsp:val=&quot;000C5E3A&quot;/&gt;&lt;wsp:rsid wsp:val=&quot;000C767F&quot;/&gt;&lt;wsp:rsid wsp:val=&quot;000D09D8&quot;/&gt;&lt;wsp:rsid wsp:val=&quot;000D1E4D&quot;/&gt;&lt;wsp:rsid wsp:val=&quot;000D5A44&quot;/&gt;&lt;wsp:rsid wsp:val=&quot;000D5D91&quot;/&gt;&lt;wsp:rsid wsp:val=&quot;000D642F&quot;/&gt;&lt;wsp:rsid wsp:val=&quot;000E0E7F&quot;/&gt;&lt;wsp:rsid wsp:val=&quot;000E23B8&quot;/&gt;&lt;wsp:rsid wsp:val=&quot;000E3ED2&quot;/&gt;&lt;wsp:rsid wsp:val=&quot;000E620E&quot;/&gt;&lt;wsp:rsid wsp:val=&quot;000F5A6A&quot;/&gt;&lt;wsp:rsid wsp:val=&quot;0010026B&quot;/&gt;&lt;wsp:rsid wsp:val=&quot;00100946&quot;/&gt;&lt;wsp:rsid wsp:val=&quot;00102CE8&quot;/&gt;&lt;wsp:rsid wsp:val=&quot;00105237&quot;/&gt;&lt;wsp:rsid wsp:val=&quot;0011022F&quot;/&gt;&lt;wsp:rsid wsp:val=&quot;00111BCC&quot;/&gt;&lt;wsp:rsid wsp:val=&quot;001128D3&quot;/&gt;&lt;wsp:rsid wsp:val=&quot;00113901&quot;/&gt;&lt;wsp:rsid wsp:val=&quot;00124B90&quot;/&gt;&lt;wsp:rsid wsp:val=&quot;00126A96&quot;/&gt;&lt;wsp:rsid wsp:val=&quot;00126E17&quot;/&gt;&lt;wsp:rsid wsp:val=&quot;00126F6D&quot;/&gt;&lt;wsp:rsid wsp:val=&quot;00131F42&quot;/&gt;&lt;wsp:rsid wsp:val=&quot;00132BD8&quot;/&gt;&lt;wsp:rsid wsp:val=&quot;0013512B&quot;/&gt;&lt;wsp:rsid wsp:val=&quot;001357F1&quot;/&gt;&lt;wsp:rsid wsp:val=&quot;0013609D&quot;/&gt;&lt;wsp:rsid wsp:val=&quot;0014039F&quot;/&gt;&lt;wsp:rsid wsp:val=&quot;00140FA8&quot;/&gt;&lt;wsp:rsid wsp:val=&quot;00141085&quot;/&gt;&lt;wsp:rsid wsp:val=&quot;00142C7B&quot;/&gt;&lt;wsp:rsid wsp:val=&quot;00142DFC&quot;/&gt;&lt;wsp:rsid wsp:val=&quot;00142FEB&quot;/&gt;&lt;wsp:rsid wsp:val=&quot;001435D3&quot;/&gt;&lt;wsp:rsid wsp:val=&quot;00143A2D&quot;/&gt;&lt;wsp:rsid wsp:val=&quot;00145308&quot;/&gt;&lt;wsp:rsid wsp:val=&quot;00145A41&quot;/&gt;&lt;wsp:rsid wsp:val=&quot;00145DCD&quot;/&gt;&lt;wsp:rsid wsp:val=&quot;00151675&quot;/&gt;&lt;wsp:rsid wsp:val=&quot;00151C85&quot;/&gt;&lt;wsp:rsid wsp:val=&quot;00152725&quot;/&gt;&lt;wsp:rsid wsp:val=&quot;0015380C&quot;/&gt;&lt;wsp:rsid wsp:val=&quot;00153D22&quot;/&gt;&lt;wsp:rsid wsp:val=&quot;00156C5C&quot;/&gt;&lt;wsp:rsid wsp:val=&quot;00157435&quot;/&gt;&lt;wsp:rsid wsp:val=&quot;00165A39&quot;/&gt;&lt;wsp:rsid wsp:val=&quot;00167252&quot;/&gt;&lt;wsp:rsid wsp:val=&quot;001713F7&quot;/&gt;&lt;wsp:rsid wsp:val=&quot;00172069&quot;/&gt;&lt;wsp:rsid wsp:val=&quot;0017504D&quot;/&gt;&lt;wsp:rsid wsp:val=&quot;00176248&quot;/&gt;&lt;wsp:rsid wsp:val=&quot;0017671A&quot;/&gt;&lt;wsp:rsid wsp:val=&quot;00177422&quot;/&gt;&lt;wsp:rsid wsp:val=&quot;0018073C&quot;/&gt;&lt;wsp:rsid wsp:val=&quot;001820D7&quot;/&gt;&lt;wsp:rsid wsp:val=&quot;00183F85&quot;/&gt;&lt;wsp:rsid wsp:val=&quot;00184590&quot;/&gt;&lt;wsp:rsid wsp:val=&quot;001870D1&quot;/&gt;&lt;wsp:rsid wsp:val=&quot;0018781E&quot;/&gt;&lt;wsp:rsid wsp:val=&quot;00187DA5&quot;/&gt;&lt;wsp:rsid wsp:val=&quot;0019262D&quot;/&gt;&lt;wsp:rsid wsp:val=&quot;001956AC&quot;/&gt;&lt;wsp:rsid wsp:val=&quot;00196784&quot;/&gt;&lt;wsp:rsid wsp:val=&quot;0019687F&quot;/&gt;&lt;wsp:rsid wsp:val=&quot;00197513&quot;/&gt;&lt;wsp:rsid wsp:val=&quot;001A03DE&quot;/&gt;&lt;wsp:rsid wsp:val=&quot;001A1B35&quot;/&gt;&lt;wsp:rsid wsp:val=&quot;001A2277&quot;/&gt;&lt;wsp:rsid wsp:val=&quot;001A48A2&quot;/&gt;&lt;wsp:rsid wsp:val=&quot;001A6066&quot;/&gt;&lt;wsp:rsid wsp:val=&quot;001A671D&quot;/&gt;&lt;wsp:rsid wsp:val=&quot;001A6F61&quot;/&gt;&lt;wsp:rsid wsp:val=&quot;001A7F87&quot;/&gt;&lt;wsp:rsid wsp:val=&quot;001B2CB5&quot;/&gt;&lt;wsp:rsid wsp:val=&quot;001B72B8&quot;/&gt;&lt;wsp:rsid wsp:val=&quot;001C0AFA&quot;/&gt;&lt;wsp:rsid wsp:val=&quot;001C177F&quot;/&gt;&lt;wsp:rsid wsp:val=&quot;001C18AE&quot;/&gt;&lt;wsp:rsid wsp:val=&quot;001C445B&quot;/&gt;&lt;wsp:rsid wsp:val=&quot;001C5B74&quot;/&gt;&lt;wsp:rsid wsp:val=&quot;001C69B3&quot;/&gt;&lt;wsp:rsid wsp:val=&quot;001D100C&quot;/&gt;&lt;wsp:rsid wsp:val=&quot;001D4A9F&quot;/&gt;&lt;wsp:rsid wsp:val=&quot;001D5595&quot;/&gt;&lt;wsp:rsid wsp:val=&quot;001D7874&quot;/&gt;&lt;wsp:rsid wsp:val=&quot;001D7F22&quot;/&gt;&lt;wsp:rsid wsp:val=&quot;001E6D91&quot;/&gt;&lt;wsp:rsid wsp:val=&quot;001F09D0&quot;/&gt;&lt;wsp:rsid wsp:val=&quot;001F0F17&quot;/&gt;&lt;wsp:rsid wsp:val=&quot;001F1A85&quot;/&gt;&lt;wsp:rsid wsp:val=&quot;001F3347&quot;/&gt;&lt;wsp:rsid wsp:val=&quot;001F336F&quot;/&gt;&lt;wsp:rsid wsp:val=&quot;001F3524&quot;/&gt;&lt;wsp:rsid wsp:val=&quot;001F4E5F&quot;/&gt;&lt;wsp:rsid wsp:val=&quot;001F62ED&quot;/&gt;&lt;wsp:rsid wsp:val=&quot;001F69E4&quot;/&gt;&lt;wsp:rsid wsp:val=&quot;00202476&quot;/&gt;&lt;wsp:rsid wsp:val=&quot;0020631F&quot;/&gt;&lt;wsp:rsid wsp:val=&quot;00212110&quot;/&gt;&lt;wsp:rsid wsp:val=&quot;002125B4&quot;/&gt;&lt;wsp:rsid wsp:val=&quot;002155B8&quot;/&gt;&lt;wsp:rsid wsp:val=&quot;00215806&quot;/&gt;&lt;wsp:rsid wsp:val=&quot;00215988&quot;/&gt;&lt;wsp:rsid wsp:val=&quot;00220B62&quot;/&gt;&lt;wsp:rsid wsp:val=&quot;00224839&quot;/&gt;&lt;wsp:rsid wsp:val=&quot;002249B2&quot;/&gt;&lt;wsp:rsid wsp:val=&quot;002256FF&quot;/&gt;&lt;wsp:rsid wsp:val=&quot;0022596E&quot;/&gt;&lt;wsp:rsid wsp:val=&quot;00226574&quot;/&gt;&lt;wsp:rsid wsp:val=&quot;002273C7&quot;/&gt;&lt;wsp:rsid wsp:val=&quot;002278EC&quot;/&gt;&lt;wsp:rsid wsp:val=&quot;002304AA&quot;/&gt;&lt;wsp:rsid wsp:val=&quot;0023280E&quot;/&gt;&lt;wsp:rsid wsp:val=&quot;00234566&quot;/&gt;&lt;wsp:rsid wsp:val=&quot;00235E20&quot;/&gt;&lt;wsp:rsid wsp:val=&quot;00236972&quot;/&gt;&lt;wsp:rsid wsp:val=&quot;002377D1&quot;/&gt;&lt;wsp:rsid wsp:val=&quot;00241E01&quot;/&gt;&lt;wsp:rsid wsp:val=&quot;00241E30&quot;/&gt;&lt;wsp:rsid wsp:val=&quot;0024582C&quot;/&gt;&lt;wsp:rsid wsp:val=&quot;0024692A&quot;/&gt;&lt;wsp:rsid wsp:val=&quot;002506BC&quot;/&gt;&lt;wsp:rsid wsp:val=&quot;002516DE&quot;/&gt;&lt;wsp:rsid wsp:val=&quot;00252DCE&quot;/&gt;&lt;wsp:rsid wsp:val=&quot;00254345&quot;/&gt;&lt;wsp:rsid wsp:val=&quot;00254B4B&quot;/&gt;&lt;wsp:rsid wsp:val=&quot;0025524D&quot;/&gt;&lt;wsp:rsid wsp:val=&quot;00257A5E&quot;/&gt;&lt;wsp:rsid wsp:val=&quot;002643DD&quot;/&gt;&lt;wsp:rsid wsp:val=&quot;00264557&quot;/&gt;&lt;wsp:rsid wsp:val=&quot;00267C15&quot;/&gt;&lt;wsp:rsid wsp:val=&quot;002709A2&quot;/&gt;&lt;wsp:rsid wsp:val=&quot;00271811&quot;/&gt;&lt;wsp:rsid wsp:val=&quot;002800C4&quot;/&gt;&lt;wsp:rsid wsp:val=&quot;002805AB&quot;/&gt;&lt;wsp:rsid wsp:val=&quot;002821E6&quot;/&gt;&lt;wsp:rsid wsp:val=&quot;00284204&quot;/&gt;&lt;wsp:rsid wsp:val=&quot;002845CC&quot;/&gt;&lt;wsp:rsid wsp:val=&quot;00287707&quot;/&gt;&lt;wsp:rsid wsp:val=&quot;00291773&quot;/&gt;&lt;wsp:rsid wsp:val=&quot;00292D24&quot;/&gt;&lt;wsp:rsid wsp:val=&quot;0029638B&quot;/&gt;&lt;wsp:rsid wsp:val=&quot;00296986&quot;/&gt;&lt;wsp:rsid wsp:val=&quot;002A0C36&quot;/&gt;&lt;wsp:rsid wsp:val=&quot;002A168C&quot;/&gt;&lt;wsp:rsid wsp:val=&quot;002A3DC7&quot;/&gt;&lt;wsp:rsid wsp:val=&quot;002A4CB9&quot;/&gt;&lt;wsp:rsid wsp:val=&quot;002A4D20&quot;/&gt;&lt;wsp:rsid wsp:val=&quot;002A6078&quot;/&gt;&lt;wsp:rsid wsp:val=&quot;002A7B7D&quot;/&gt;&lt;wsp:rsid wsp:val=&quot;002B22D8&quot;/&gt;&lt;wsp:rsid wsp:val=&quot;002B34A1&quot;/&gt;&lt;wsp:rsid wsp:val=&quot;002B34E3&quot;/&gt;&lt;wsp:rsid wsp:val=&quot;002B49E2&quot;/&gt;&lt;wsp:rsid wsp:val=&quot;002B60E6&quot;/&gt;&lt;wsp:rsid wsp:val=&quot;002B7B00&quot;/&gt;&lt;wsp:rsid wsp:val=&quot;002B7C44&quot;/&gt;&lt;wsp:rsid wsp:val=&quot;002C24F6&quot;/&gt;&lt;wsp:rsid wsp:val=&quot;002C296F&quot;/&gt;&lt;wsp:rsid wsp:val=&quot;002C2ACD&quot;/&gt;&lt;wsp:rsid wsp:val=&quot;002C2B17&quot;/&gt;&lt;wsp:rsid wsp:val=&quot;002C3858&quot;/&gt;&lt;wsp:rsid wsp:val=&quot;002C4883&quot;/&gt;&lt;wsp:rsid wsp:val=&quot;002C608A&quot;/&gt;&lt;wsp:rsid wsp:val=&quot;002C7AB1&quot;/&gt;&lt;wsp:rsid wsp:val=&quot;002D122F&quot;/&gt;&lt;wsp:rsid wsp:val=&quot;002D2C8E&quot;/&gt;&lt;wsp:rsid wsp:val=&quot;002D3DD0&quot;/&gt;&lt;wsp:rsid wsp:val=&quot;002D593E&quot;/&gt;&lt;wsp:rsid wsp:val=&quot;002D702E&quot;/&gt;&lt;wsp:rsid wsp:val=&quot;002E1F3A&quot;/&gt;&lt;wsp:rsid wsp:val=&quot;002E298A&quot;/&gt;&lt;wsp:rsid wsp:val=&quot;002E2F3C&quot;/&gt;&lt;wsp:rsid wsp:val=&quot;002E7700&quot;/&gt;&lt;wsp:rsid wsp:val=&quot;002F2C81&quot;/&gt;&lt;wsp:rsid wsp:val=&quot;002F2E67&quot;/&gt;&lt;wsp:rsid wsp:val=&quot;002F4D32&quot;/&gt;&lt;wsp:rsid wsp:val=&quot;00301978&quot;/&gt;&lt;wsp:rsid wsp:val=&quot;00302FE7&quot;/&gt;&lt;wsp:rsid wsp:val=&quot;0030332C&quot;/&gt;&lt;wsp:rsid wsp:val=&quot;00303C66&quot;/&gt;&lt;wsp:rsid wsp:val=&quot;003051C2&quot;/&gt;&lt;wsp:rsid wsp:val=&quot;00305FB7&quot;/&gt;&lt;wsp:rsid wsp:val=&quot;003069F6&quot;/&gt;&lt;wsp:rsid wsp:val=&quot;00311D99&quot;/&gt;&lt;wsp:rsid wsp:val=&quot;00311F4E&quot;/&gt;&lt;wsp:rsid wsp:val=&quot;00312296&quot;/&gt;&lt;wsp:rsid wsp:val=&quot;00312C3E&quot;/&gt;&lt;wsp:rsid wsp:val=&quot;00312F02&quot;/&gt;&lt;wsp:rsid wsp:val=&quot;0031333D&quot;/&gt;&lt;wsp:rsid wsp:val=&quot;0031373A&quot;/&gt;&lt;wsp:rsid wsp:val=&quot;00314F0E&quot;/&gt;&lt;wsp:rsid wsp:val=&quot;00317FBD&quot;/&gt;&lt;wsp:rsid wsp:val=&quot;00321D8E&quot;/&gt;&lt;wsp:rsid wsp:val=&quot;00325928&quot;/&gt;&lt;wsp:rsid wsp:val=&quot;00326D90&quot;/&gt;&lt;wsp:rsid wsp:val=&quot;00332742&quot;/&gt;&lt;wsp:rsid wsp:val=&quot;0033280A&quot;/&gt;&lt;wsp:rsid wsp:val=&quot;00332863&quot;/&gt;&lt;wsp:rsid wsp:val=&quot;00333FCE&quot;/&gt;&lt;wsp:rsid wsp:val=&quot;00335265&quot;/&gt;&lt;wsp:rsid wsp:val=&quot;00335364&quot;/&gt;&lt;wsp:rsid wsp:val=&quot;0033684D&quot;/&gt;&lt;wsp:rsid wsp:val=&quot;00336B9F&quot;/&gt;&lt;wsp:rsid wsp:val=&quot;00337B42&quot;/&gt;&lt;wsp:rsid wsp:val=&quot;00340D1F&quot;/&gt;&lt;wsp:rsid wsp:val=&quot;00341B42&quot;/&gt;&lt;wsp:rsid wsp:val=&quot;0034269A&quot;/&gt;&lt;wsp:rsid wsp:val=&quot;0034348F&quot;/&gt;&lt;wsp:rsid wsp:val=&quot;00350CFF&quot;/&gt;&lt;wsp:rsid wsp:val=&quot;00353222&quot;/&gt;&lt;wsp:rsid wsp:val=&quot;00355306&quot;/&gt;&lt;wsp:rsid wsp:val=&quot;0035581D&quot;/&gt;&lt;wsp:rsid wsp:val=&quot;00356653&quot;/&gt;&lt;wsp:rsid wsp:val=&quot;0035743F&quot;/&gt;&lt;wsp:rsid wsp:val=&quot;00357BE2&quot;/&gt;&lt;wsp:rsid wsp:val=&quot;0036170C&quot;/&gt;&lt;wsp:rsid wsp:val=&quot;00361BD1&quot;/&gt;&lt;wsp:rsid wsp:val=&quot;003638C7&quot;/&gt;&lt;wsp:rsid wsp:val=&quot;003647F6&quot;/&gt;&lt;wsp:rsid wsp:val=&quot;00364AE8&quot;/&gt;&lt;wsp:rsid wsp:val=&quot;00366E0F&quot;/&gt;&lt;wsp:rsid wsp:val=&quot;00367FB4&quot;/&gt;&lt;wsp:rsid wsp:val=&quot;00371C4F&quot;/&gt;&lt;wsp:rsid wsp:val=&quot;003731F2&quot;/&gt;&lt;wsp:rsid wsp:val=&quot;00376A4F&quot;/&gt;&lt;wsp:rsid wsp:val=&quot;00377471&quot;/&gt;&lt;wsp:rsid wsp:val=&quot;00377C82&quot;/&gt;&lt;wsp:rsid wsp:val=&quot;00381A72&quot;/&gt;&lt;wsp:rsid wsp:val=&quot;00383783&quot;/&gt;&lt;wsp:rsid wsp:val=&quot;0038409E&quot;/&gt;&lt;wsp:rsid wsp:val=&quot;00384676&quot;/&gt;&lt;wsp:rsid wsp:val=&quot;00385F28&quot;/&gt;&lt;wsp:rsid wsp:val=&quot;00390857&quot;/&gt;&lt;wsp:rsid wsp:val=&quot;0039458F&quot;/&gt;&lt;wsp:rsid wsp:val=&quot;003A3785&quot;/&gt;&lt;wsp:rsid wsp:val=&quot;003A4BF3&quot;/&gt;&lt;wsp:rsid wsp:val=&quot;003B1798&quot;/&gt;&lt;wsp:rsid wsp:val=&quot;003B38F8&quot;/&gt;&lt;wsp:rsid wsp:val=&quot;003B420D&quot;/&gt;&lt;wsp:rsid wsp:val=&quot;003C01A9&quot;/&gt;&lt;wsp:rsid wsp:val=&quot;003C0F25&quot;/&gt;&lt;wsp:rsid wsp:val=&quot;003C1C0D&quot;/&gt;&lt;wsp:rsid wsp:val=&quot;003C2BEC&quot;/&gt;&lt;wsp:rsid wsp:val=&quot;003C6C16&quot;/&gt;&lt;wsp:rsid wsp:val=&quot;003C6DD7&quot;/&gt;&lt;wsp:rsid wsp:val=&quot;003C6EAC&quot;/&gt;&lt;wsp:rsid wsp:val=&quot;003D032A&quot;/&gt;&lt;wsp:rsid wsp:val=&quot;003D3FC1&quot;/&gt;&lt;wsp:rsid wsp:val=&quot;003D6067&quot;/&gt;&lt;wsp:rsid wsp:val=&quot;003D794D&quot;/&gt;&lt;wsp:rsid wsp:val=&quot;003D7EE9&quot;/&gt;&lt;wsp:rsid wsp:val=&quot;003E15AA&quot;/&gt;&lt;wsp:rsid wsp:val=&quot;003E18FE&quot;/&gt;&lt;wsp:rsid wsp:val=&quot;003E3058&quot;/&gt;&lt;wsp:rsid wsp:val=&quot;003E4779&quot;/&gt;&lt;wsp:rsid wsp:val=&quot;003E4ACE&quot;/&gt;&lt;wsp:rsid wsp:val=&quot;003E5F06&quot;/&gt;&lt;wsp:rsid wsp:val=&quot;003E70FF&quot;/&gt;&lt;wsp:rsid wsp:val=&quot;003E719E&quot;/&gt;&lt;wsp:rsid wsp:val=&quot;003E76A9&quot;/&gt;&lt;wsp:rsid wsp:val=&quot;003E7FAC&quot;/&gt;&lt;wsp:rsid wsp:val=&quot;003F0809&quot;/&gt;&lt;wsp:rsid wsp:val=&quot;003F0E67&quot;/&gt;&lt;wsp:rsid wsp:val=&quot;003F1311&quot;/&gt;&lt;wsp:rsid wsp:val=&quot;003F32BD&quot;/&gt;&lt;wsp:rsid wsp:val=&quot;003F6A8C&quot;/&gt;&lt;wsp:rsid wsp:val=&quot;003F6C92&quot;/&gt;&lt;wsp:rsid wsp:val=&quot;003F755C&quot;/&gt;&lt;wsp:rsid wsp:val=&quot;003F7616&quot;/&gt;&lt;wsp:rsid wsp:val=&quot;003F78CF&quot;/&gt;&lt;wsp:rsid wsp:val=&quot;004002D2&quot;/&gt;&lt;wsp:rsid wsp:val=&quot;00400A39&quot;/&gt;&lt;wsp:rsid wsp:val=&quot;00400F0A&quot;/&gt;&lt;wsp:rsid wsp:val=&quot;00406F01&quot;/&gt;&lt;wsp:rsid wsp:val=&quot;00410596&quot;/&gt;&lt;wsp:rsid wsp:val=&quot;00413AFF&quot;/&gt;&lt;wsp:rsid wsp:val=&quot;00413D70&quot;/&gt;&lt;wsp:rsid wsp:val=&quot;0041470A&quot;/&gt;&lt;wsp:rsid wsp:val=&quot;0041491A&quot;/&gt;&lt;wsp:rsid wsp:val=&quot;00415E52&quot;/&gt;&lt;wsp:rsid wsp:val=&quot;00416D50&quot;/&gt;&lt;wsp:rsid wsp:val=&quot;00416F06&quot;/&gt;&lt;wsp:rsid wsp:val=&quot;00416FD5&quot;/&gt;&lt;wsp:rsid wsp:val=&quot;00417772&quot;/&gt;&lt;wsp:rsid wsp:val=&quot;00417D46&quot;/&gt;&lt;wsp:rsid wsp:val=&quot;00420E6A&quot;/&gt;&lt;wsp:rsid wsp:val=&quot;00425A9E&quot;/&gt;&lt;wsp:rsid wsp:val=&quot;00426D6B&quot;/&gt;&lt;wsp:rsid wsp:val=&quot;00431E6C&quot;/&gt;&lt;wsp:rsid wsp:val=&quot;00433B13&quot;/&gt;&lt;wsp:rsid wsp:val=&quot;00433CE7&quot;/&gt;&lt;wsp:rsid wsp:val=&quot;00436372&quot;/&gt;&lt;wsp:rsid wsp:val=&quot;0043649C&quot;/&gt;&lt;wsp:rsid wsp:val=&quot;00437EC1&quot;/&gt;&lt;wsp:rsid wsp:val=&quot;004459B9&quot;/&gt;&lt;wsp:rsid wsp:val=&quot;00450D9A&quot;/&gt;&lt;wsp:rsid wsp:val=&quot;00452738&quot;/&gt;&lt;wsp:rsid wsp:val=&quot;00453A43&quot;/&gt;&lt;wsp:rsid wsp:val=&quot;00456091&quot;/&gt;&lt;wsp:rsid wsp:val=&quot;00460197&quot;/&gt;&lt;wsp:rsid wsp:val=&quot;00460E94&quot;/&gt;&lt;wsp:rsid wsp:val=&quot;00463036&quot;/&gt;&lt;wsp:rsid wsp:val=&quot;00466321&quot;/&gt;&lt;wsp:rsid wsp:val=&quot;00466876&quot;/&gt;&lt;wsp:rsid wsp:val=&quot;00466CA7&quot;/&gt;&lt;wsp:rsid wsp:val=&quot;00471C55&quot;/&gt;&lt;wsp:rsid wsp:val=&quot;00472296&quot;/&gt;&lt;wsp:rsid wsp:val=&quot;004754B3&quot;/&gt;&lt;wsp:rsid wsp:val=&quot;004766E5&quot;/&gt;&lt;wsp:rsid wsp:val=&quot;00477E8F&quot;/&gt;&lt;wsp:rsid wsp:val=&quot;00482283&quot;/&gt;&lt;wsp:rsid wsp:val=&quot;00483155&quot;/&gt;&lt;wsp:rsid wsp:val=&quot;00484B9B&quot;/&gt;&lt;wsp:rsid wsp:val=&quot;00485367&quot;/&gt;&lt;wsp:rsid wsp:val=&quot;004855F6&quot;/&gt;&lt;wsp:rsid wsp:val=&quot;0048661E&quot;/&gt;&lt;wsp:rsid wsp:val=&quot;00491F41&quot;/&gt;&lt;wsp:rsid wsp:val=&quot;0049427B&quot;/&gt;&lt;wsp:rsid wsp:val=&quot;00494670&quot;/&gt;&lt;wsp:rsid wsp:val=&quot;00494B08&quot;/&gt;&lt;wsp:rsid wsp:val=&quot;00494E0F&quot;/&gt;&lt;wsp:rsid wsp:val=&quot;00495C7B&quot;/&gt;&lt;wsp:rsid wsp:val=&quot;00495EBE&quot;/&gt;&lt;wsp:rsid wsp:val=&quot;00497083&quot;/&gt;&lt;wsp:rsid wsp:val=&quot;004A3823&quot;/&gt;&lt;wsp:rsid wsp:val=&quot;004A5051&quot;/&gt;&lt;wsp:rsid wsp:val=&quot;004A7EDB&quot;/&gt;&lt;wsp:rsid wsp:val=&quot;004B5FD7&quot;/&gt;&lt;wsp:rsid wsp:val=&quot;004C0113&quot;/&gt;&lt;wsp:rsid wsp:val=&quot;004C2405&quot;/&gt;&lt;wsp:rsid wsp:val=&quot;004D1A86&quot;/&gt;&lt;wsp:rsid wsp:val=&quot;004D502C&quot;/&gt;&lt;wsp:rsid wsp:val=&quot;004D7476&quot;/&gt;&lt;wsp:rsid wsp:val=&quot;004E41C6&quot;/&gt;&lt;wsp:rsid wsp:val=&quot;004E4CA4&quot;/&gt;&lt;wsp:rsid wsp:val=&quot;004E651B&quot;/&gt;&lt;wsp:rsid wsp:val=&quot;004E67A9&quot;/&gt;&lt;wsp:rsid wsp:val=&quot;004E6946&quot;/&gt;&lt;wsp:rsid wsp:val=&quot;004E70BD&quot;/&gt;&lt;wsp:rsid wsp:val=&quot;004F1AD8&quot;/&gt;&lt;wsp:rsid wsp:val=&quot;004F33F4&quot;/&gt;&lt;wsp:rsid wsp:val=&quot;004F3D47&quot;/&gt;&lt;wsp:rsid wsp:val=&quot;004F43A1&quot;/&gt;&lt;wsp:rsid wsp:val=&quot;004F64DB&quot;/&gt;&lt;wsp:rsid wsp:val=&quot;00501286&quot;/&gt;&lt;wsp:rsid wsp:val=&quot;00501499&quot;/&gt;&lt;wsp:rsid wsp:val=&quot;005039CB&quot;/&gt;&lt;wsp:rsid wsp:val=&quot;00503E17&quot;/&gt;&lt;wsp:rsid wsp:val=&quot;00504B24&quot;/&gt;&lt;wsp:rsid wsp:val=&quot;00504BDB&quot;/&gt;&lt;wsp:rsid wsp:val=&quot;0050558F&quot;/&gt;&lt;wsp:rsid wsp:val=&quot;00506286&quot;/&gt;&lt;wsp:rsid wsp:val=&quot;00506C5F&quot;/&gt;&lt;wsp:rsid wsp:val=&quot;00510813&quot;/&gt;&lt;wsp:rsid wsp:val=&quot;005109F0&quot;/&gt;&lt;wsp:rsid wsp:val=&quot;00511990&quot;/&gt;&lt;wsp:rsid wsp:val=&quot;00511DE0&quot;/&gt;&lt;wsp:rsid wsp:val=&quot;005128F1&quot;/&gt;&lt;wsp:rsid wsp:val=&quot;00512E24&quot;/&gt;&lt;wsp:rsid wsp:val=&quot;00514870&quot;/&gt;&lt;wsp:rsid wsp:val=&quot;00514B2E&quot;/&gt;&lt;wsp:rsid wsp:val=&quot;00514B9B&quot;/&gt;&lt;wsp:rsid wsp:val=&quot;005163E2&quot;/&gt;&lt;wsp:rsid wsp:val=&quot;00517F02&quot;/&gt;&lt;wsp:rsid wsp:val=&quot;00520B30&quot;/&gt;&lt;wsp:rsid wsp:val=&quot;00521186&quot;/&gt;&lt;wsp:rsid wsp:val=&quot;0052273C&quot;/&gt;&lt;wsp:rsid wsp:val=&quot;00522E16&quot;/&gt;&lt;wsp:rsid wsp:val=&quot;0052386B&quot;/&gt;&lt;wsp:rsid wsp:val=&quot;00524303&quot;/&gt;&lt;wsp:rsid wsp:val=&quot;005258A2&quot;/&gt;&lt;wsp:rsid wsp:val=&quot;00526D9F&quot;/&gt;&lt;wsp:rsid wsp:val=&quot;00533BF9&quot;/&gt;&lt;wsp:rsid wsp:val=&quot;00534765&quot;/&gt;&lt;wsp:rsid wsp:val=&quot;0053561F&quot;/&gt;&lt;wsp:rsid wsp:val=&quot;00535E67&quot;/&gt;&lt;wsp:rsid wsp:val=&quot;00535EB9&quot;/&gt;&lt;wsp:rsid wsp:val=&quot;00537B54&quot;/&gt;&lt;wsp:rsid wsp:val=&quot;005401AE&quot;/&gt;&lt;wsp:rsid wsp:val=&quot;00540AE1&quot;/&gt;&lt;wsp:rsid wsp:val=&quot;00542E07&quot;/&gt;&lt;wsp:rsid wsp:val=&quot;00542EB6&quot;/&gt;&lt;wsp:rsid wsp:val=&quot;00545424&quot;/&gt;&lt;wsp:rsid wsp:val=&quot;00547541&quot;/&gt;&lt;wsp:rsid wsp:val=&quot;00547C63&quot;/&gt;&lt;wsp:rsid wsp:val=&quot;005539FB&quot;/&gt;&lt;wsp:rsid wsp:val=&quot;00554A7B&quot;/&gt;&lt;wsp:rsid wsp:val=&quot;0055572C&quot;/&gt;&lt;wsp:rsid wsp:val=&quot;0055625F&quot;/&gt;&lt;wsp:rsid wsp:val=&quot;005571F8&quot;/&gt;&lt;wsp:rsid wsp:val=&quot;00560B13&quot;/&gt;&lt;wsp:rsid wsp:val=&quot;0056106A&quot;/&gt;&lt;wsp:rsid wsp:val=&quot;0056132B&quot;/&gt;&lt;wsp:rsid wsp:val=&quot;0056178C&quot;/&gt;&lt;wsp:rsid wsp:val=&quot;00561FE0&quot;/&gt;&lt;wsp:rsid wsp:val=&quot;00566416&quot;/&gt;&lt;wsp:rsid wsp:val=&quot;005720AE&quot;/&gt;&lt;wsp:rsid wsp:val=&quot;0058033D&quot;/&gt;&lt;wsp:rsid wsp:val=&quot;00582717&quot;/&gt;&lt;wsp:rsid wsp:val=&quot;00582B4D&quot;/&gt;&lt;wsp:rsid wsp:val=&quot;00585A2F&quot;/&gt;&lt;wsp:rsid wsp:val=&quot;00586F7D&quot;/&gt;&lt;wsp:rsid wsp:val=&quot;005876AD&quot;/&gt;&lt;wsp:rsid wsp:val=&quot;00590731&quot;/&gt;&lt;wsp:rsid wsp:val=&quot;00593129&quot;/&gt;&lt;wsp:rsid wsp:val=&quot;00594D77&quot;/&gt;&lt;wsp:rsid wsp:val=&quot;005969E4&quot;/&gt;&lt;wsp:rsid wsp:val=&quot;005A06B7&quot;/&gt;&lt;wsp:rsid wsp:val=&quot;005A1759&quot;/&gt;&lt;wsp:rsid wsp:val=&quot;005A516D&quot;/&gt;&lt;wsp:rsid wsp:val=&quot;005A68A7&quot;/&gt;&lt;wsp:rsid wsp:val=&quot;005B09C8&quot;/&gt;&lt;wsp:rsid wsp:val=&quot;005B404B&quot;/&gt;&lt;wsp:rsid wsp:val=&quot;005B653D&quot;/&gt;&lt;wsp:rsid wsp:val=&quot;005C1D3A&quot;/&gt;&lt;wsp:rsid wsp:val=&quot;005D36AB&quot;/&gt;&lt;wsp:rsid wsp:val=&quot;005D41D9&quot;/&gt;&lt;wsp:rsid wsp:val=&quot;005D4233&quot;/&gt;&lt;wsp:rsid wsp:val=&quot;005D4CFC&quot;/&gt;&lt;wsp:rsid wsp:val=&quot;005E2FBC&quot;/&gt;&lt;wsp:rsid wsp:val=&quot;005E7E45&quot;/&gt;&lt;wsp:rsid wsp:val=&quot;005F17BF&quot;/&gt;&lt;wsp:rsid wsp:val=&quot;005F187E&quot;/&gt;&lt;wsp:rsid wsp:val=&quot;005F7AB1&quot;/&gt;&lt;wsp:rsid wsp:val=&quot;00604BA3&quot;/&gt;&lt;wsp:rsid wsp:val=&quot;00604BE9&quot;/&gt;&lt;wsp:rsid wsp:val=&quot;00605931&quot;/&gt;&lt;wsp:rsid wsp:val=&quot;00605E30&quot;/&gt;&lt;wsp:rsid wsp:val=&quot;0061158D&quot;/&gt;&lt;wsp:rsid wsp:val=&quot;0061510F&quot;/&gt;&lt;wsp:rsid wsp:val=&quot;00617852&quot;/&gt;&lt;wsp:rsid wsp:val=&quot;00617CC3&quot;/&gt;&lt;wsp:rsid wsp:val=&quot;006210B5&quot;/&gt;&lt;wsp:rsid wsp:val=&quot;006215B1&quot;/&gt;&lt;wsp:rsid wsp:val=&quot;0062531C&quot;/&gt;&lt;wsp:rsid wsp:val=&quot;00625604&quot;/&gt;&lt;wsp:rsid wsp:val=&quot;006260C5&quot;/&gt;&lt;wsp:rsid wsp:val=&quot;006308AF&quot;/&gt;&lt;wsp:rsid wsp:val=&quot;0063177B&quot;/&gt;&lt;wsp:rsid wsp:val=&quot;00635152&quot;/&gt;&lt;wsp:rsid wsp:val=&quot;0063702B&quot;/&gt;&lt;wsp:rsid wsp:val=&quot;006377A6&quot;/&gt;&lt;wsp:rsid wsp:val=&quot;00637A3D&quot;/&gt;&lt;wsp:rsid wsp:val=&quot;006411EF&quot;/&gt;&lt;wsp:rsid wsp:val=&quot;00642D23&quot;/&gt;&lt;wsp:rsid wsp:val=&quot;00643A56&quot;/&gt;&lt;wsp:rsid wsp:val=&quot;00650211&quot;/&gt;&lt;wsp:rsid wsp:val=&quot;0065038C&quot;/&gt;&lt;wsp:rsid wsp:val=&quot;00652855&quot;/&gt;&lt;wsp:rsid wsp:val=&quot;00654ED9&quot;/&gt;&lt;wsp:rsid wsp:val=&quot;00660540&quot;/&gt;&lt;wsp:rsid wsp:val=&quot;00666822&quot;/&gt;&lt;wsp:rsid wsp:val=&quot;006723F4&quot;/&gt;&lt;wsp:rsid wsp:val=&quot;00672F71&quot;/&gt;&lt;wsp:rsid wsp:val=&quot;006748B8&quot;/&gt;&lt;wsp:rsid wsp:val=&quot;006775C3&quot;/&gt;&lt;wsp:rsid wsp:val=&quot;00681A25&quot;/&gt;&lt;wsp:rsid wsp:val=&quot;00682AAF&quot;/&gt;&lt;wsp:rsid wsp:val=&quot;00684E69&quot;/&gt;&lt;wsp:rsid wsp:val=&quot;006862EC&quot;/&gt;&lt;wsp:rsid wsp:val=&quot;00690468&quot;/&gt;&lt;wsp:rsid wsp:val=&quot;0069065A&quot;/&gt;&lt;wsp:rsid wsp:val=&quot;006906C7&quot;/&gt;&lt;wsp:rsid wsp:val=&quot;00691D3D&quot;/&gt;&lt;wsp:rsid wsp:val=&quot;00691D91&quot;/&gt;&lt;wsp:rsid wsp:val=&quot;0069290A&quot;/&gt;&lt;wsp:rsid wsp:val=&quot;00692DE4&quot;/&gt;&lt;wsp:rsid wsp:val=&quot;006930A4&quot;/&gt;&lt;wsp:rsid wsp:val=&quot;00695B0A&quot;/&gt;&lt;wsp:rsid wsp:val=&quot;00696D06&quot;/&gt;&lt;wsp:rsid wsp:val=&quot;00696E47&quot;/&gt;&lt;wsp:rsid wsp:val=&quot;0069775A&quot;/&gt;&lt;wsp:rsid wsp:val=&quot;00697813&quot;/&gt;&lt;wsp:rsid wsp:val=&quot;00697B12&quot;/&gt;&lt;wsp:rsid wsp:val=&quot;006A225C&quot;/&gt;&lt;wsp:rsid wsp:val=&quot;006A3EE8&quot;/&gt;&lt;wsp:rsid wsp:val=&quot;006A488B&quot;/&gt;&lt;wsp:rsid wsp:val=&quot;006A5115&quot;/&gt;&lt;wsp:rsid wsp:val=&quot;006A7209&quot;/&gt;&lt;wsp:rsid wsp:val=&quot;006A72BF&quot;/&gt;&lt;wsp:rsid wsp:val=&quot;006B03F2&quot;/&gt;&lt;wsp:rsid wsp:val=&quot;006B1434&quot;/&gt;&lt;wsp:rsid wsp:val=&quot;006B37DC&quot;/&gt;&lt;wsp:rsid wsp:val=&quot;006B3B32&quot;/&gt;&lt;wsp:rsid wsp:val=&quot;006B4F68&quot;/&gt;&lt;wsp:rsid wsp:val=&quot;006C0592&quot;/&gt;&lt;wsp:rsid wsp:val=&quot;006C272E&quot;/&gt;&lt;wsp:rsid wsp:val=&quot;006C2A2E&quot;/&gt;&lt;wsp:rsid wsp:val=&quot;006C2EC0&quot;/&gt;&lt;wsp:rsid wsp:val=&quot;006C480B&quot;/&gt;&lt;wsp:rsid wsp:val=&quot;006C5479&quot;/&gt;&lt;wsp:rsid wsp:val=&quot;006C577B&quot;/&gt;&lt;wsp:rsid wsp:val=&quot;006D13B5&quot;/&gt;&lt;wsp:rsid wsp:val=&quot;006D3EC8&quot;/&gt;&lt;wsp:rsid wsp:val=&quot;006D4F07&quot;/&gt;&lt;wsp:rsid wsp:val=&quot;006D6440&quot;/&gt;&lt;wsp:rsid wsp:val=&quot;006D6F3B&quot;/&gt;&lt;wsp:rsid wsp:val=&quot;006D7D37&quot;/&gt;&lt;wsp:rsid wsp:val=&quot;006E12FF&quot;/&gt;&lt;wsp:rsid wsp:val=&quot;006E47C5&quot;/&gt;&lt;wsp:rsid wsp:val=&quot;006E4978&quot;/&gt;&lt;wsp:rsid wsp:val=&quot;006E607E&quot;/&gt;&lt;wsp:rsid wsp:val=&quot;006E6703&quot;/&gt;&lt;wsp:rsid wsp:val=&quot;006E6AE5&quot;/&gt;&lt;wsp:rsid wsp:val=&quot;006F0CE9&quot;/&gt;&lt;wsp:rsid wsp:val=&quot;006F11B1&quot;/&gt;&lt;wsp:rsid wsp:val=&quot;006F36A6&quot;/&gt;&lt;wsp:rsid wsp:val=&quot;006F5D4C&quot;/&gt;&lt;wsp:rsid wsp:val=&quot;006F6BC4&quot;/&gt;&lt;wsp:rsid wsp:val=&quot;00703BA4&quot;/&gt;&lt;wsp:rsid wsp:val=&quot;00706C5D&quot;/&gt;&lt;wsp:rsid wsp:val=&quot;007077D0&quot;/&gt;&lt;wsp:rsid wsp:val=&quot;007106E4&quot;/&gt;&lt;wsp:rsid wsp:val=&quot;00711134&quot;/&gt;&lt;wsp:rsid wsp:val=&quot;00712C20&quot;/&gt;&lt;wsp:rsid wsp:val=&quot;00712E92&quot;/&gt;&lt;wsp:rsid wsp:val=&quot;00716273&quot;/&gt;&lt;wsp:rsid wsp:val=&quot;00721537&quot;/&gt;&lt;wsp:rsid wsp:val=&quot;00721777&quot;/&gt;&lt;wsp:rsid wsp:val=&quot;007236A8&quot;/&gt;&lt;wsp:rsid wsp:val=&quot;00727E77&quot;/&gt;&lt;wsp:rsid wsp:val=&quot;0073010E&quot;/&gt;&lt;wsp:rsid wsp:val=&quot;00730842&quot;/&gt;&lt;wsp:rsid wsp:val=&quot;00732922&quot;/&gt;&lt;wsp:rsid wsp:val=&quot;0073339F&quot;/&gt;&lt;wsp:rsid wsp:val=&quot;007351A9&quot;/&gt;&lt;wsp:rsid wsp:val=&quot;00735203&quot;/&gt;&lt;wsp:rsid wsp:val=&quot;00740E02&quot;/&gt;&lt;wsp:rsid wsp:val=&quot;0074145C&quot;/&gt;&lt;wsp:rsid wsp:val=&quot;007425BF&quot;/&gt;&lt;wsp:rsid wsp:val=&quot;007439C5&quot;/&gt;&lt;wsp:rsid wsp:val=&quot;0075078B&quot;/&gt;&lt;wsp:rsid wsp:val=&quot;0075162E&quot;/&gt;&lt;wsp:rsid wsp:val=&quot;00754034&quot;/&gt;&lt;wsp:rsid wsp:val=&quot;00756556&quot;/&gt;&lt;wsp:rsid wsp:val=&quot;007618C4&quot;/&gt;&lt;wsp:rsid wsp:val=&quot;00764829&quot;/&gt;&lt;wsp:rsid wsp:val=&quot;007669EC&quot;/&gt;&lt;wsp:rsid wsp:val=&quot;007677FB&quot;/&gt;&lt;wsp:rsid wsp:val=&quot;00767980&quot;/&gt;&lt;wsp:rsid wsp:val=&quot;00770B19&quot;/&gt;&lt;wsp:rsid wsp:val=&quot;007717A5&quot;/&gt;&lt;wsp:rsid wsp:val=&quot;0077463F&quot;/&gt;&lt;wsp:rsid wsp:val=&quot;00776115&quot;/&gt;&lt;wsp:rsid wsp:val=&quot;00777406&quot;/&gt;&lt;wsp:rsid wsp:val=&quot;00780425&quot;/&gt;&lt;wsp:rsid wsp:val=&quot;00781145&quot;/&gt;&lt;wsp:rsid wsp:val=&quot;00781315&quot;/&gt;&lt;wsp:rsid wsp:val=&quot;007836EA&quot;/&gt;&lt;wsp:rsid wsp:val=&quot;00783A7E&quot;/&gt;&lt;wsp:rsid wsp:val=&quot;00783C05&quot;/&gt;&lt;wsp:rsid wsp:val=&quot;00784CDA&quot;/&gt;&lt;wsp:rsid wsp:val=&quot;007906C4&quot;/&gt;&lt;wsp:rsid wsp:val=&quot;00791CDF&quot;/&gt;&lt;wsp:rsid wsp:val=&quot;00792E34&quot;/&gt;&lt;wsp:rsid wsp:val=&quot;007940EA&quot;/&gt;&lt;wsp:rsid wsp:val=&quot;007967E8&quot;/&gt;&lt;wsp:rsid wsp:val=&quot;00797198&quot;/&gt;&lt;wsp:rsid wsp:val=&quot;007A2170&quot;/&gt;&lt;wsp:rsid wsp:val=&quot;007A22BF&quot;/&gt;&lt;wsp:rsid wsp:val=&quot;007A3323&quot;/&gt;&lt;wsp:rsid wsp:val=&quot;007A3870&quot;/&gt;&lt;wsp:rsid wsp:val=&quot;007A4232&quot;/&gt;&lt;wsp:rsid wsp:val=&quot;007A4B73&quot;/&gt;&lt;wsp:rsid wsp:val=&quot;007A610E&quot;/&gt;&lt;wsp:rsid wsp:val=&quot;007A6900&quot;/&gt;&lt;wsp:rsid wsp:val=&quot;007B2EBE&quot;/&gt;&lt;wsp:rsid wsp:val=&quot;007B34C2&quot;/&gt;&lt;wsp:rsid wsp:val=&quot;007B6B5F&quot;/&gt;&lt;wsp:rsid wsp:val=&quot;007B72B8&quot;/&gt;&lt;wsp:rsid wsp:val=&quot;007B7A58&quot;/&gt;&lt;wsp:rsid wsp:val=&quot;007C21B5&quot;/&gt;&lt;wsp:rsid wsp:val=&quot;007C225B&quot;/&gt;&lt;wsp:rsid wsp:val=&quot;007C324E&quot;/&gt;&lt;wsp:rsid wsp:val=&quot;007C39E3&quot;/&gt;&lt;wsp:rsid wsp:val=&quot;007C3BB5&quot;/&gt;&lt;wsp:rsid wsp:val=&quot;007C5FF8&quot;/&gt;&lt;wsp:rsid wsp:val=&quot;007D03DB&quot;/&gt;&lt;wsp:rsid wsp:val=&quot;007D129E&quot;/&gt;&lt;wsp:rsid wsp:val=&quot;007D158A&quot;/&gt;&lt;wsp:rsid wsp:val=&quot;007D323B&quot;/&gt;&lt;wsp:rsid wsp:val=&quot;007E1981&quot;/&gt;&lt;wsp:rsid wsp:val=&quot;007E2C55&quot;/&gt;&lt;wsp:rsid wsp:val=&quot;007E3D3C&quot;/&gt;&lt;wsp:rsid wsp:val=&quot;007E4BD2&quot;/&gt;&lt;wsp:rsid wsp:val=&quot;007F24F1&quot;/&gt;&lt;wsp:rsid wsp:val=&quot;007F6D1E&quot;/&gt;&lt;wsp:rsid wsp:val=&quot;008004D4&quot;/&gt;&lt;wsp:rsid wsp:val=&quot;00801393&quot;/&gt;&lt;wsp:rsid wsp:val=&quot;008017E0&quot;/&gt;&lt;wsp:rsid wsp:val=&quot;00802F88&quot;/&gt;&lt;wsp:rsid wsp:val=&quot;00803DE8&quot;/&gt;&lt;wsp:rsid wsp:val=&quot;00810A97&quot;/&gt;&lt;wsp:rsid wsp:val=&quot;008119C1&quot;/&gt;&lt;wsp:rsid wsp:val=&quot;0081293E&quot;/&gt;&lt;wsp:rsid wsp:val=&quot;00813677&quot;/&gt;&lt;wsp:rsid wsp:val=&quot;00815465&quot;/&gt;&lt;wsp:rsid wsp:val=&quot;008154DD&quot;/&gt;&lt;wsp:rsid wsp:val=&quot;008160BB&quot;/&gt;&lt;wsp:rsid wsp:val=&quot;00816B52&quot;/&gt;&lt;wsp:rsid wsp:val=&quot;00817E9A&quot;/&gt;&lt;wsp:rsid wsp:val=&quot;00826F12&quot;/&gt;&lt;wsp:rsid wsp:val=&quot;008277BE&quot;/&gt;&lt;wsp:rsid wsp:val=&quot;00827BE9&quot;/&gt;&lt;wsp:rsid wsp:val=&quot;008306BD&quot;/&gt;&lt;wsp:rsid wsp:val=&quot;008307A7&quot;/&gt;&lt;wsp:rsid wsp:val=&quot;00831A80&quot;/&gt;&lt;wsp:rsid wsp:val=&quot;00833743&quot;/&gt;&lt;wsp:rsid wsp:val=&quot;00833D6F&quot;/&gt;&lt;wsp:rsid wsp:val=&quot;008340A4&quot;/&gt;&lt;wsp:rsid wsp:val=&quot;00836BAD&quot;/&gt;&lt;wsp:rsid wsp:val=&quot;008370C9&quot;/&gt;&lt;wsp:rsid wsp:val=&quot;00840057&quot;/&gt;&lt;wsp:rsid wsp:val=&quot;0084306D&quot;/&gt;&lt;wsp:rsid wsp:val=&quot;00846E71&quot;/&gt;&lt;wsp:rsid wsp:val=&quot;00847BB7&quot;/&gt;&lt;wsp:rsid wsp:val=&quot;00847C35&quot;/&gt;&lt;wsp:rsid wsp:val=&quot;008505BF&quot;/&gt;&lt;wsp:rsid wsp:val=&quot;00852032&quot;/&gt;&lt;wsp:rsid wsp:val=&quot;0085441C&quot;/&gt;&lt;wsp:rsid wsp:val=&quot;008569BD&quot;/&gt;&lt;wsp:rsid wsp:val=&quot;008572F7&quot;/&gt;&lt;wsp:rsid wsp:val=&quot;008651C7&quot;/&gt;&lt;wsp:rsid wsp:val=&quot;008654B5&quot;/&gt;&lt;wsp:rsid wsp:val=&quot;008654C9&quot;/&gt;&lt;wsp:rsid wsp:val=&quot;0086773D&quot;/&gt;&lt;wsp:rsid wsp:val=&quot;008678B8&quot;/&gt;&lt;wsp:rsid wsp:val=&quot;0087135F&quot;/&gt;&lt;wsp:rsid wsp:val=&quot;00872D94&quot;/&gt;&lt;wsp:rsid wsp:val=&quot;00875057&quot;/&gt;&lt;wsp:rsid wsp:val=&quot;00880364&quot;/&gt;&lt;wsp:rsid wsp:val=&quot;00880BA7&quot;/&gt;&lt;wsp:rsid wsp:val=&quot;00884593&quot;/&gt;&lt;wsp:rsid wsp:val=&quot;00885709&quot;/&gt;&lt;wsp:rsid wsp:val=&quot;00891592&quot;/&gt;&lt;wsp:rsid wsp:val=&quot;00891E9E&quot;/&gt;&lt;wsp:rsid wsp:val=&quot;0089552C&quot;/&gt;&lt;wsp:rsid wsp:val=&quot;0089732A&quot;/&gt;&lt;wsp:rsid wsp:val=&quot;00897931&quot;/&gt;&lt;wsp:rsid wsp:val=&quot;008A1C21&quot;/&gt;&lt;wsp:rsid wsp:val=&quot;008A2EA5&quot;/&gt;&lt;wsp:rsid wsp:val=&quot;008A2F68&quot;/&gt;&lt;wsp:rsid wsp:val=&quot;008A583D&quot;/&gt;&lt;wsp:rsid wsp:val=&quot;008A5D78&quot;/&gt;&lt;wsp:rsid wsp:val=&quot;008B0D05&quot;/&gt;&lt;wsp:rsid wsp:val=&quot;008B333E&quot;/&gt;&lt;wsp:rsid wsp:val=&quot;008B4FA6&quot;/&gt;&lt;wsp:rsid wsp:val=&quot;008B5282&quot;/&gt;&lt;wsp:rsid wsp:val=&quot;008B7C17&quot;/&gt;&lt;wsp:rsid wsp:val=&quot;008C2B41&quot;/&gt;&lt;wsp:rsid wsp:val=&quot;008C2D01&quot;/&gt;&lt;wsp:rsid wsp:val=&quot;008C40E6&quot;/&gt;&lt;wsp:rsid wsp:val=&quot;008C6B38&quot;/&gt;&lt;wsp:rsid wsp:val=&quot;008D033B&quot;/&gt;&lt;wsp:rsid wsp:val=&quot;008D0F7A&quot;/&gt;&lt;wsp:rsid wsp:val=&quot;008D1F4C&quot;/&gt;&lt;wsp:rsid wsp:val=&quot;008D3162&quot;/&gt;&lt;wsp:rsid wsp:val=&quot;008D3DB4&quot;/&gt;&lt;wsp:rsid wsp:val=&quot;008D516A&quot;/&gt;&lt;wsp:rsid wsp:val=&quot;008D68E4&quot;/&gt;&lt;wsp:rsid wsp:val=&quot;008D794C&quot;/&gt;&lt;wsp:rsid wsp:val=&quot;008E0506&quot;/&gt;&lt;wsp:rsid wsp:val=&quot;008E0CFF&quot;/&gt;&lt;wsp:rsid wsp:val=&quot;008E3194&quot;/&gt;&lt;wsp:rsid wsp:val=&quot;008E5D6B&quot;/&gt;&lt;wsp:rsid wsp:val=&quot;008E756D&quot;/&gt;&lt;wsp:rsid wsp:val=&quot;008E76F0&quot;/&gt;&lt;wsp:rsid wsp:val=&quot;008E776F&quot;/&gt;&lt;wsp:rsid wsp:val=&quot;008F0691&quot;/&gt;&lt;wsp:rsid wsp:val=&quot;008F099C&quot;/&gt;&lt;wsp:rsid wsp:val=&quot;008F12CD&quot;/&gt;&lt;wsp:rsid wsp:val=&quot;008F15FE&quot;/&gt;&lt;wsp:rsid wsp:val=&quot;008F2D29&quot;/&gt;&lt;wsp:rsid wsp:val=&quot;008F3BDC&quot;/&gt;&lt;wsp:rsid wsp:val=&quot;008F5187&quot;/&gt;&lt;wsp:rsid wsp:val=&quot;008F60D8&quot;/&gt;&lt;wsp:rsid wsp:val=&quot;008F7814&quot;/&gt;&lt;wsp:rsid wsp:val=&quot;00902727&quot;/&gt;&lt;wsp:rsid wsp:val=&quot;0090312B&quot;/&gt;&lt;wsp:rsid wsp:val=&quot;009050AC&quot;/&gt;&lt;wsp:rsid wsp:val=&quot;00911425&quot;/&gt;&lt;wsp:rsid wsp:val=&quot;00911AD5&quot;/&gt;&lt;wsp:rsid wsp:val=&quot;00914E34&quot;/&gt;&lt;wsp:rsid wsp:val=&quot;00915E74&quot;/&gt;&lt;wsp:rsid wsp:val=&quot;0091736D&quot;/&gt;&lt;wsp:rsid wsp:val=&quot;00923524&quot;/&gt;&lt;wsp:rsid wsp:val=&quot;00925757&quot;/&gt;&lt;wsp:rsid wsp:val=&quot;00925D95&quot;/&gt;&lt;wsp:rsid wsp:val=&quot;009265F4&quot;/&gt;&lt;wsp:rsid wsp:val=&quot;009269B7&quot;/&gt;&lt;wsp:rsid wsp:val=&quot;0093037A&quot;/&gt;&lt;wsp:rsid wsp:val=&quot;00931A0E&quot;/&gt;&lt;wsp:rsid wsp:val=&quot;00934676&quot;/&gt;&lt;wsp:rsid wsp:val=&quot;0094154D&quot;/&gt;&lt;wsp:rsid wsp:val=&quot;00943FF7&quot;/&gt;&lt;wsp:rsid wsp:val=&quot;009443EA&quot;/&gt;&lt;wsp:rsid wsp:val=&quot;0095155F&quot;/&gt;&lt;wsp:rsid wsp:val=&quot;00951CB2&quot;/&gt;&lt;wsp:rsid wsp:val=&quot;00953A2D&quot;/&gt;&lt;wsp:rsid wsp:val=&quot;00954429&quot;/&gt;&lt;wsp:rsid wsp:val=&quot;00955B65&quot;/&gt;&lt;wsp:rsid wsp:val=&quot;009563CE&quot;/&gt;&lt;wsp:rsid wsp:val=&quot;00963DC1&quot;/&gt;&lt;wsp:rsid wsp:val=&quot;00964285&quot;/&gt;&lt;wsp:rsid wsp:val=&quot;009668F7&quot;/&gt;&lt;wsp:rsid wsp:val=&quot;00966A6A&quot;/&gt;&lt;wsp:rsid wsp:val=&quot;00970C62&quot;/&gt;&lt;wsp:rsid wsp:val=&quot;009728C5&quot;/&gt;&lt;wsp:rsid wsp:val=&quot;00972AC9&quot;/&gt;&lt;wsp:rsid wsp:val=&quot;00973AFF&quot;/&gt;&lt;wsp:rsid wsp:val=&quot;00974974&quot;/&gt;&lt;wsp:rsid wsp:val=&quot;00975832&quot;/&gt;&lt;wsp:rsid wsp:val=&quot;00976328&quot;/&gt;&lt;wsp:rsid wsp:val=&quot;0097680D&quot;/&gt;&lt;wsp:rsid wsp:val=&quot;00976BDB&quot;/&gt;&lt;wsp:rsid wsp:val=&quot;00982438&quot;/&gt;&lt;wsp:rsid wsp:val=&quot;009827AF&quot;/&gt;&lt;wsp:rsid wsp:val=&quot;0098340D&quot;/&gt;&lt;wsp:rsid wsp:val=&quot;00983BF0&quot;/&gt;&lt;wsp:rsid wsp:val=&quot;0098404C&quot;/&gt;&lt;wsp:rsid wsp:val=&quot;00985283&quot;/&gt;&lt;wsp:rsid wsp:val=&quot;0098782A&quot;/&gt;&lt;wsp:rsid wsp:val=&quot;00992059&quot;/&gt;&lt;wsp:rsid wsp:val=&quot;009940AA&quot;/&gt;&lt;wsp:rsid wsp:val=&quot;0099475C&quot;/&gt;&lt;wsp:rsid wsp:val=&quot;00995992&quot;/&gt;&lt;wsp:rsid wsp:val=&quot;009A03E5&quot;/&gt;&lt;wsp:rsid wsp:val=&quot;009A0F3B&quot;/&gt;&lt;wsp:rsid wsp:val=&quot;009A1804&quot;/&gt;&lt;wsp:rsid wsp:val=&quot;009A1BB4&quot;/&gt;&lt;wsp:rsid wsp:val=&quot;009A2628&quot;/&gt;&lt;wsp:rsid wsp:val=&quot;009A2908&quot;/&gt;&lt;wsp:rsid wsp:val=&quot;009A3200&quot;/&gt;&lt;wsp:rsid wsp:val=&quot;009A4DB6&quot;/&gt;&lt;wsp:rsid wsp:val=&quot;009A594A&quot;/&gt;&lt;wsp:rsid wsp:val=&quot;009A5AF1&quot;/&gt;&lt;wsp:rsid wsp:val=&quot;009A609F&quot;/&gt;&lt;wsp:rsid wsp:val=&quot;009A6647&quot;/&gt;&lt;wsp:rsid wsp:val=&quot;009A7203&quot;/&gt;&lt;wsp:rsid wsp:val=&quot;009B00E9&quot;/&gt;&lt;wsp:rsid wsp:val=&quot;009B0897&quot;/&gt;&lt;wsp:rsid wsp:val=&quot;009B5E67&quot;/&gt;&lt;wsp:rsid wsp:val=&quot;009B74C5&quot;/&gt;&lt;wsp:rsid wsp:val=&quot;009B7BD9&quot;/&gt;&lt;wsp:rsid wsp:val=&quot;009B7CD6&quot;/&gt;&lt;wsp:rsid wsp:val=&quot;009C20B1&quot;/&gt;&lt;wsp:rsid wsp:val=&quot;009C4110&quot;/&gt;&lt;wsp:rsid wsp:val=&quot;009C7DD5&quot;/&gt;&lt;wsp:rsid wsp:val=&quot;009D321A&quot;/&gt;&lt;wsp:rsid wsp:val=&quot;009D4397&quot;/&gt;&lt;wsp:rsid wsp:val=&quot;009D748A&quot;/&gt;&lt;wsp:rsid wsp:val=&quot;009E1CC2&quot;/&gt;&lt;wsp:rsid wsp:val=&quot;009E227D&quot;/&gt;&lt;wsp:rsid wsp:val=&quot;009E5019&quot;/&gt;&lt;wsp:rsid wsp:val=&quot;009E6399&quot;/&gt;&lt;wsp:rsid wsp:val=&quot;009F07AC&quot;/&gt;&lt;wsp:rsid wsp:val=&quot;009F0C30&quot;/&gt;&lt;wsp:rsid wsp:val=&quot;009F0D31&quot;/&gt;&lt;wsp:rsid wsp:val=&quot;009F6097&quot;/&gt;&lt;wsp:rsid wsp:val=&quot;009F68BD&quot;/&gt;&lt;wsp:rsid wsp:val=&quot;009F75E6&quot;/&gt;&lt;wsp:rsid wsp:val=&quot;00A03CDD&quot;/&gt;&lt;wsp:rsid wsp:val=&quot;00A04F1B&quot;/&gt;&lt;wsp:rsid wsp:val=&quot;00A0501B&quot;/&gt;&lt;wsp:rsid wsp:val=&quot;00A0528F&quot;/&gt;&lt;wsp:rsid wsp:val=&quot;00A11CE6&quot;/&gt;&lt;wsp:rsid wsp:val=&quot;00A14947&quot;/&gt;&lt;wsp:rsid wsp:val=&quot;00A152D6&quot;/&gt;&lt;wsp:rsid wsp:val=&quot;00A24731&quot;/&gt;&lt;wsp:rsid wsp:val=&quot;00A25AB7&quot;/&gt;&lt;wsp:rsid wsp:val=&quot;00A25C91&quot;/&gt;&lt;wsp:rsid wsp:val=&quot;00A25CD0&quot;/&gt;&lt;wsp:rsid wsp:val=&quot;00A2642C&quot;/&gt;&lt;wsp:rsid wsp:val=&quot;00A32A83&quot;/&gt;&lt;wsp:rsid wsp:val=&quot;00A363AE&quot;/&gt;&lt;wsp:rsid wsp:val=&quot;00A368DB&quot;/&gt;&lt;wsp:rsid wsp:val=&quot;00A40381&quot;/&gt;&lt;wsp:rsid wsp:val=&quot;00A423AA&quot;/&gt;&lt;wsp:rsid wsp:val=&quot;00A432A4&quot;/&gt;&lt;wsp:rsid wsp:val=&quot;00A4458A&quot;/&gt;&lt;wsp:rsid wsp:val=&quot;00A466FB&quot;/&gt;&lt;wsp:rsid wsp:val=&quot;00A47569&quot;/&gt;&lt;wsp:rsid wsp:val=&quot;00A477C1&quot;/&gt;&lt;wsp:rsid wsp:val=&quot;00A534EE&quot;/&gt;&lt;wsp:rsid wsp:val=&quot;00A53EC6&quot;/&gt;&lt;wsp:rsid wsp:val=&quot;00A55C0F&quot;/&gt;&lt;wsp:rsid wsp:val=&quot;00A60045&quot;/&gt;&lt;wsp:rsid wsp:val=&quot;00A60768&quot;/&gt;&lt;wsp:rsid wsp:val=&quot;00A60D83&quot;/&gt;&lt;wsp:rsid wsp:val=&quot;00A62E4A&quot;/&gt;&lt;wsp:rsid wsp:val=&quot;00A64059&quot;/&gt;&lt;wsp:rsid wsp:val=&quot;00A647E2&quot;/&gt;&lt;wsp:rsid wsp:val=&quot;00A660E7&quot;/&gt;&lt;wsp:rsid wsp:val=&quot;00A6622A&quot;/&gt;&lt;wsp:rsid wsp:val=&quot;00A752FD&quot;/&gt;&lt;wsp:rsid wsp:val=&quot;00A766C9&quot;/&gt;&lt;wsp:rsid wsp:val=&quot;00A826CD&quot;/&gt;&lt;wsp:rsid wsp:val=&quot;00A831D6&quot;/&gt;&lt;wsp:rsid wsp:val=&quot;00A8713F&quot;/&gt;&lt;wsp:rsid wsp:val=&quot;00A87F5D&quot;/&gt;&lt;wsp:rsid wsp:val=&quot;00A90BA1&quot;/&gt;&lt;wsp:rsid wsp:val=&quot;00A91BC8&quot;/&gt;&lt;wsp:rsid wsp:val=&quot;00A97A91&quot;/&gt;&lt;wsp:rsid wsp:val=&quot;00A97A9A&quot;/&gt;&lt;wsp:rsid wsp:val=&quot;00AA0671&quot;/&gt;&lt;wsp:rsid wsp:val=&quot;00AA2531&quot;/&gt;&lt;wsp:rsid wsp:val=&quot;00AA2DBD&quot;/&gt;&lt;wsp:rsid wsp:val=&quot;00AA56CD&quot;/&gt;&lt;wsp:rsid wsp:val=&quot;00AB03AD&quot;/&gt;&lt;wsp:rsid wsp:val=&quot;00AB1E09&quot;/&gt;&lt;wsp:rsid wsp:val=&quot;00AB34CA&quot;/&gt;&lt;wsp:rsid wsp:val=&quot;00AB40C3&quot;/&gt;&lt;wsp:rsid wsp:val=&quot;00AB4E1B&quot;/&gt;&lt;wsp:rsid wsp:val=&quot;00AB5330&quot;/&gt;&lt;wsp:rsid wsp:val=&quot;00AB5EC2&quot;/&gt;&lt;wsp:rsid wsp:val=&quot;00AB7271&quot;/&gt;&lt;wsp:rsid wsp:val=&quot;00AB7747&quot;/&gt;&lt;wsp:rsid wsp:val=&quot;00AB7B2E&quot;/&gt;&lt;wsp:rsid wsp:val=&quot;00AC074D&quot;/&gt;&lt;wsp:rsid wsp:val=&quot;00AC14CE&quot;/&gt;&lt;wsp:rsid wsp:val=&quot;00AC2A56&quot;/&gt;&lt;wsp:rsid wsp:val=&quot;00AC4C88&quot;/&gt;&lt;wsp:rsid wsp:val=&quot;00AC6211&quot;/&gt;&lt;wsp:rsid wsp:val=&quot;00AC649F&quot;/&gt;&lt;wsp:rsid wsp:val=&quot;00AD055E&quot;/&gt;&lt;wsp:rsid wsp:val=&quot;00AD3E63&quot;/&gt;&lt;wsp:rsid wsp:val=&quot;00AD47A7&quot;/&gt;&lt;wsp:rsid wsp:val=&quot;00AE7120&quot;/&gt;&lt;wsp:rsid wsp:val=&quot;00AF0CBF&quot;/&gt;&lt;wsp:rsid wsp:val=&quot;00AF1C65&quot;/&gt;&lt;wsp:rsid wsp:val=&quot;00AF1F76&quot;/&gt;&lt;wsp:rsid wsp:val=&quot;00AF257F&quot;/&gt;&lt;wsp:rsid wsp:val=&quot;00AF33CF&quot;/&gt;&lt;wsp:rsid wsp:val=&quot;00AF4D50&quot;/&gt;&lt;wsp:rsid wsp:val=&quot;00AF6179&quot;/&gt;&lt;wsp:rsid wsp:val=&quot;00AF682D&quot;/&gt;&lt;wsp:rsid wsp:val=&quot;00AF77E4&quot;/&gt;&lt;wsp:rsid wsp:val=&quot;00B02D3D&quot;/&gt;&lt;wsp:rsid wsp:val=&quot;00B1295A&quot;/&gt;&lt;wsp:rsid wsp:val=&quot;00B14EE8&quot;/&gt;&lt;wsp:rsid wsp:val=&quot;00B20A45&quot;/&gt;&lt;wsp:rsid wsp:val=&quot;00B21CCB&quot;/&gt;&lt;wsp:rsid wsp:val=&quot;00B22C5C&quot;/&gt;&lt;wsp:rsid wsp:val=&quot;00B23BC0&quot;/&gt;&lt;wsp:rsid wsp:val=&quot;00B24F30&quot;/&gt;&lt;wsp:rsid wsp:val=&quot;00B26845&quot;/&gt;&lt;wsp:rsid wsp:val=&quot;00B3078E&quot;/&gt;&lt;wsp:rsid wsp:val=&quot;00B31469&quot;/&gt;&lt;wsp:rsid wsp:val=&quot;00B31ABF&quot;/&gt;&lt;wsp:rsid wsp:val=&quot;00B32F43&quot;/&gt;&lt;wsp:rsid wsp:val=&quot;00B33BE3&quot;/&gt;&lt;wsp:rsid wsp:val=&quot;00B3792A&quot;/&gt;&lt;wsp:rsid wsp:val=&quot;00B415E2&quot;/&gt;&lt;wsp:rsid wsp:val=&quot;00B50CE7&quot;/&gt;&lt;wsp:rsid wsp:val=&quot;00B5135B&quot;/&gt;&lt;wsp:rsid wsp:val=&quot;00B5393E&quot;/&gt;&lt;wsp:rsid wsp:val=&quot;00B539FB&quot;/&gt;&lt;wsp:rsid wsp:val=&quot;00B53B5D&quot;/&gt;&lt;wsp:rsid wsp:val=&quot;00B5479C&quot;/&gt;&lt;wsp:rsid wsp:val=&quot;00B554B6&quot;/&gt;&lt;wsp:rsid wsp:val=&quot;00B55965&quot;/&gt;&lt;wsp:rsid wsp:val=&quot;00B5683F&quot;/&gt;&lt;wsp:rsid wsp:val=&quot;00B56BAE&quot;/&gt;&lt;wsp:rsid wsp:val=&quot;00B6055E&quot;/&gt;&lt;wsp:rsid wsp:val=&quot;00B60F59&quot;/&gt;&lt;wsp:rsid wsp:val=&quot;00B62DAE&quot;/&gt;&lt;wsp:rsid wsp:val=&quot;00B6317D&quot;/&gt;&lt;wsp:rsid wsp:val=&quot;00B6388A&quot;/&gt;&lt;wsp:rsid wsp:val=&quot;00B64649&quot;/&gt;&lt;wsp:rsid wsp:val=&quot;00B66E34&quot;/&gt;&lt;wsp:rsid wsp:val=&quot;00B72138&quot;/&gt;&lt;wsp:rsid wsp:val=&quot;00B72515&quot;/&gt;&lt;wsp:rsid wsp:val=&quot;00B73083&quot;/&gt;&lt;wsp:rsid wsp:val=&quot;00B744A2&quot;/&gt;&lt;wsp:rsid wsp:val=&quot;00B746D7&quot;/&gt;&lt;wsp:rsid wsp:val=&quot;00B76030&quot;/&gt;&lt;wsp:rsid wsp:val=&quot;00B7723F&quot;/&gt;&lt;wsp:rsid wsp:val=&quot;00B77DF0&quot;/&gt;&lt;wsp:rsid wsp:val=&quot;00B77E96&quot;/&gt;&lt;wsp:rsid wsp:val=&quot;00B80534&quot;/&gt;&lt;wsp:rsid wsp:val=&quot;00B807F0&quot;/&gt;&lt;wsp:rsid wsp:val=&quot;00B808FE&quot;/&gt;&lt;wsp:rsid wsp:val=&quot;00B8115D&quot;/&gt;&lt;wsp:rsid wsp:val=&quot;00B821C3&quot;/&gt;&lt;wsp:rsid wsp:val=&quot;00B8433C&quot;/&gt;&lt;wsp:rsid wsp:val=&quot;00B87491&quot;/&gt;&lt;wsp:rsid wsp:val=&quot;00B90167&quot;/&gt;&lt;wsp:rsid wsp:val=&quot;00B941CB&quot;/&gt;&lt;wsp:rsid wsp:val=&quot;00BA29E9&quot;/&gt;&lt;wsp:rsid wsp:val=&quot;00BA5936&quot;/&gt;&lt;wsp:rsid wsp:val=&quot;00BA7142&quot;/&gt;&lt;wsp:rsid wsp:val=&quot;00BB157F&quot;/&gt;&lt;wsp:rsid wsp:val=&quot;00BB237C&quot;/&gt;&lt;wsp:rsid wsp:val=&quot;00BB3FFE&quot;/&gt;&lt;wsp:rsid wsp:val=&quot;00BB41A3&quot;/&gt;&lt;wsp:rsid wsp:val=&quot;00BB4F01&quot;/&gt;&lt;wsp:rsid wsp:val=&quot;00BC157F&quot;/&gt;&lt;wsp:rsid wsp:val=&quot;00BC32DC&quot;/&gt;&lt;wsp:rsid wsp:val=&quot;00BC35B6&quot;/&gt;&lt;wsp:rsid wsp:val=&quot;00BC43A6&quot;/&gt;&lt;wsp:rsid wsp:val=&quot;00BC447F&quot;/&gt;&lt;wsp:rsid wsp:val=&quot;00BC4570&quot;/&gt;&lt;wsp:rsid wsp:val=&quot;00BC4E43&quot;/&gt;&lt;wsp:rsid wsp:val=&quot;00BD03C0&quot;/&gt;&lt;wsp:rsid wsp:val=&quot;00BD0774&quot;/&gt;&lt;wsp:rsid wsp:val=&quot;00BD1B51&quot;/&gt;&lt;wsp:rsid wsp:val=&quot;00BD238E&quot;/&gt;&lt;wsp:rsid wsp:val=&quot;00BD4596&quot;/&gt;&lt;wsp:rsid wsp:val=&quot;00BD4CD6&quot;/&gt;&lt;wsp:rsid wsp:val=&quot;00BE0135&quot;/&gt;&lt;wsp:rsid wsp:val=&quot;00BE0E4E&quot;/&gt;&lt;wsp:rsid wsp:val=&quot;00BE1405&quot;/&gt;&lt;wsp:rsid wsp:val=&quot;00BE312D&quot;/&gt;&lt;wsp:rsid wsp:val=&quot;00BE44D6&quot;/&gt;&lt;wsp:rsid wsp:val=&quot;00BE695A&quot;/&gt;&lt;wsp:rsid wsp:val=&quot;00BF0686&quot;/&gt;&lt;wsp:rsid wsp:val=&quot;00BF1C20&quot;/&gt;&lt;wsp:rsid wsp:val=&quot;00BF5AA4&quot;/&gt;&lt;wsp:rsid wsp:val=&quot;00BF5BBE&quot;/&gt;&lt;wsp:rsid wsp:val=&quot;00BF6534&quot;/&gt;&lt;wsp:rsid wsp:val=&quot;00BF6ACC&quot;/&gt;&lt;wsp:rsid wsp:val=&quot;00BF72F2&quot;/&gt;&lt;wsp:rsid wsp:val=&quot;00C10578&quot;/&gt;&lt;wsp:rsid wsp:val=&quot;00C135BC&quot;/&gt;&lt;wsp:rsid wsp:val=&quot;00C15C95&quot;/&gt;&lt;wsp:rsid wsp:val=&quot;00C21085&quot;/&gt;&lt;wsp:rsid wsp:val=&quot;00C2276E&quot;/&gt;&lt;wsp:rsid wsp:val=&quot;00C23EE6&quot;/&gt;&lt;wsp:rsid wsp:val=&quot;00C2596A&quot;/&gt;&lt;wsp:rsid wsp:val=&quot;00C27537&quot;/&gt;&lt;wsp:rsid wsp:val=&quot;00C328FE&quot;/&gt;&lt;wsp:rsid wsp:val=&quot;00C33507&quot;/&gt;&lt;wsp:rsid wsp:val=&quot;00C34BD9&quot;/&gt;&lt;wsp:rsid wsp:val=&quot;00C3542B&quot;/&gt;&lt;wsp:rsid wsp:val=&quot;00C4185E&quot;/&gt;&lt;wsp:rsid wsp:val=&quot;00C4409D&quot;/&gt;&lt;wsp:rsid wsp:val=&quot;00C44E72&quot;/&gt;&lt;wsp:rsid wsp:val=&quot;00C45A06&quot;/&gt;&lt;wsp:rsid wsp:val=&quot;00C47E5B&quot;/&gt;&lt;wsp:rsid wsp:val=&quot;00C50584&quot;/&gt;&lt;wsp:rsid wsp:val=&quot;00C53B0A&quot;/&gt;&lt;wsp:rsid wsp:val=&quot;00C54AE7&quot;/&gt;&lt;wsp:rsid wsp:val=&quot;00C56E24&quot;/&gt;&lt;wsp:rsid wsp:val=&quot;00C570C1&quot;/&gt;&lt;wsp:rsid wsp:val=&quot;00C61E4B&quot;/&gt;&lt;wsp:rsid wsp:val=&quot;00C62D0F&quot;/&gt;&lt;wsp:rsid wsp:val=&quot;00C64BFF&quot;/&gt;&lt;wsp:rsid wsp:val=&quot;00C66E79&quot;/&gt;&lt;wsp:rsid wsp:val=&quot;00C6706D&quot;/&gt;&lt;wsp:rsid wsp:val=&quot;00C704E9&quot;/&gt;&lt;wsp:rsid wsp:val=&quot;00C75896&quot;/&gt;&lt;wsp:rsid wsp:val=&quot;00C75B5B&quot;/&gt;&lt;wsp:rsid wsp:val=&quot;00C763C9&quot;/&gt;&lt;wsp:rsid wsp:val=&quot;00C764EA&quot;/&gt;&lt;wsp:rsid wsp:val=&quot;00C80057&quot;/&gt;&lt;wsp:rsid wsp:val=&quot;00C82203&quot;/&gt;&lt;wsp:rsid wsp:val=&quot;00C82232&quot;/&gt;&lt;wsp:rsid wsp:val=&quot;00C82913&quot;/&gt;&lt;wsp:rsid wsp:val=&quot;00C8308E&quot;/&gt;&lt;wsp:rsid wsp:val=&quot;00C905B8&quot;/&gt;&lt;wsp:rsid wsp:val=&quot;00C94307&quot;/&gt;&lt;wsp:rsid wsp:val=&quot;00C972B1&quot;/&gt;&lt;wsp:rsid wsp:val=&quot;00CA0F46&quot;/&gt;&lt;wsp:rsid wsp:val=&quot;00CA2CCE&quot;/&gt;&lt;wsp:rsid wsp:val=&quot;00CA43FD&quot;/&gt;&lt;wsp:rsid wsp:val=&quot;00CA4D30&quot;/&gt;&lt;wsp:rsid wsp:val=&quot;00CA5F79&quot;/&gt;&lt;wsp:rsid wsp:val=&quot;00CA7EF8&quot;/&gt;&lt;wsp:rsid wsp:val=&quot;00CB3792&quot;/&gt;&lt;wsp:rsid wsp:val=&quot;00CB7679&quot;/&gt;&lt;wsp:rsid wsp:val=&quot;00CC489B&quot;/&gt;&lt;wsp:rsid wsp:val=&quot;00CD2BCD&quot;/&gt;&lt;wsp:rsid wsp:val=&quot;00CD3A4C&quot;/&gt;&lt;wsp:rsid wsp:val=&quot;00CD55B3&quot;/&gt;&lt;wsp:rsid wsp:val=&quot;00CD7F2A&quot;/&gt;&lt;wsp:rsid wsp:val=&quot;00CE10E9&quot;/&gt;&lt;wsp:rsid wsp:val=&quot;00CE1C37&quot;/&gt;&lt;wsp:rsid wsp:val=&quot;00CE2910&quot;/&gt;&lt;wsp:rsid wsp:val=&quot;00CE3BDC&quot;/&gt;&lt;wsp:rsid wsp:val=&quot;00CE5393&quot;/&gt;&lt;wsp:rsid wsp:val=&quot;00CF36BE&quot;/&gt;&lt;wsp:rsid wsp:val=&quot;00CF4C1C&quot;/&gt;&lt;wsp:rsid wsp:val=&quot;00CF6000&quot;/&gt;&lt;wsp:rsid wsp:val=&quot;00CF77C7&quot;/&gt;&lt;wsp:rsid wsp:val=&quot;00D003F3&quot;/&gt;&lt;wsp:rsid wsp:val=&quot;00D0105E&quot;/&gt;&lt;wsp:rsid wsp:val=&quot;00D030C4&quot;/&gt;&lt;wsp:rsid wsp:val=&quot;00D0364F&quot;/&gt;&lt;wsp:rsid wsp:val=&quot;00D041B3&quot;/&gt;&lt;wsp:rsid wsp:val=&quot;00D06834&quot;/&gt;&lt;wsp:rsid wsp:val=&quot;00D11489&quot;/&gt;&lt;wsp:rsid wsp:val=&quot;00D13021&quot;/&gt;&lt;wsp:rsid wsp:val=&quot;00D14034&quot;/&gt;&lt;wsp:rsid wsp:val=&quot;00D1411C&quot;/&gt;&lt;wsp:rsid wsp:val=&quot;00D149A7&quot;/&gt;&lt;wsp:rsid wsp:val=&quot;00D15D5D&quot;/&gt;&lt;wsp:rsid wsp:val=&quot;00D236DF&quot;/&gt;&lt;wsp:rsid wsp:val=&quot;00D24D74&quot;/&gt;&lt;wsp:rsid wsp:val=&quot;00D308ED&quot;/&gt;&lt;wsp:rsid wsp:val=&quot;00D31D74&quot;/&gt;&lt;wsp:rsid wsp:val=&quot;00D31EFA&quot;/&gt;&lt;wsp:rsid wsp:val=&quot;00D34006&quot;/&gt;&lt;wsp:rsid wsp:val=&quot;00D3623C&quot;/&gt;&lt;wsp:rsid wsp:val=&quot;00D36D86&quot;/&gt;&lt;wsp:rsid wsp:val=&quot;00D4090D&quot;/&gt;&lt;wsp:rsid wsp:val=&quot;00D428AA&quot;/&gt;&lt;wsp:rsid wsp:val=&quot;00D46809&quot;/&gt;&lt;wsp:rsid wsp:val=&quot;00D46E8A&quot;/&gt;&lt;wsp:rsid wsp:val=&quot;00D508CA&quot;/&gt;&lt;wsp:rsid wsp:val=&quot;00D50A34&quot;/&gt;&lt;wsp:rsid wsp:val=&quot;00D53EFA&quot;/&gt;&lt;wsp:rsid wsp:val=&quot;00D56C5C&quot;/&gt;&lt;wsp:rsid wsp:val=&quot;00D6354C&quot;/&gt;&lt;wsp:rsid wsp:val=&quot;00D647F7&quot;/&gt;&lt;wsp:rsid wsp:val=&quot;00D65864&quot;/&gt;&lt;wsp:rsid wsp:val=&quot;00D669C5&quot;/&gt;&lt;wsp:rsid wsp:val=&quot;00D70CC7&quot;/&gt;&lt;wsp:rsid wsp:val=&quot;00D7405F&quot;/&gt;&lt;wsp:rsid wsp:val=&quot;00D760BE&quot;/&gt;&lt;wsp:rsid wsp:val=&quot;00D80141&quot;/&gt;&lt;wsp:rsid wsp:val=&quot;00D858AE&quot;/&gt;&lt;wsp:rsid wsp:val=&quot;00D85B52&quot;/&gt;&lt;wsp:rsid wsp:val=&quot;00D94A7C&quot;/&gt;&lt;wsp:rsid wsp:val=&quot;00D95896&quot;/&gt;&lt;wsp:rsid wsp:val=&quot;00DA2A8A&quot;/&gt;&lt;wsp:rsid wsp:val=&quot;00DA3BD2&quot;/&gt;&lt;wsp:rsid wsp:val=&quot;00DA5131&quot;/&gt;&lt;wsp:rsid wsp:val=&quot;00DB2983&quot;/&gt;&lt;wsp:rsid wsp:val=&quot;00DB31A8&quot;/&gt;&lt;wsp:rsid wsp:val=&quot;00DC0CAC&quot;/&gt;&lt;wsp:rsid wsp:val=&quot;00DC1257&quot;/&gt;&lt;wsp:rsid wsp:val=&quot;00DC3DC0&quot;/&gt;&lt;wsp:rsid wsp:val=&quot;00DC5B2B&quot;/&gt;&lt;wsp:rsid wsp:val=&quot;00DD318D&quot;/&gt;&lt;wsp:rsid wsp:val=&quot;00DD465F&quot;/&gt;&lt;wsp:rsid wsp:val=&quot;00DD7D79&quot;/&gt;&lt;wsp:rsid wsp:val=&quot;00DE2252&quot;/&gt;&lt;wsp:rsid wsp:val=&quot;00DE3532&quot;/&gt;&lt;wsp:rsid wsp:val=&quot;00DE3F18&quot;/&gt;&lt;wsp:rsid wsp:val=&quot;00DE43DF&quot;/&gt;&lt;wsp:rsid wsp:val=&quot;00DE4B28&quot;/&gt;&lt;wsp:rsid wsp:val=&quot;00DE5E85&quot;/&gt;&lt;wsp:rsid wsp:val=&quot;00DE658A&quot;/&gt;&lt;wsp:rsid wsp:val=&quot;00DF1F4B&quot;/&gt;&lt;wsp:rsid wsp:val=&quot;00DF2E12&quot;/&gt;&lt;wsp:rsid wsp:val=&quot;00DF514A&quot;/&gt;&lt;wsp:rsid wsp:val=&quot;00DF5A7B&quot;/&gt;&lt;wsp:rsid wsp:val=&quot;00DF643A&quot;/&gt;&lt;wsp:rsid wsp:val=&quot;00DF6690&quot;/&gt;&lt;wsp:rsid wsp:val=&quot;00DF6804&quot;/&gt;&lt;wsp:rsid wsp:val=&quot;00E02A4B&quot;/&gt;&lt;wsp:rsid wsp:val=&quot;00E031D0&quot;/&gt;&lt;wsp:rsid wsp:val=&quot;00E0358D&quot;/&gt;&lt;wsp:rsid wsp:val=&quot;00E04323&quot;/&gt;&lt;wsp:rsid wsp:val=&quot;00E04B50&quot;/&gt;&lt;wsp:rsid wsp:val=&quot;00E05D23&quot;/&gt;&lt;wsp:rsid wsp:val=&quot;00E070A2&quot;/&gt;&lt;wsp:rsid wsp:val=&quot;00E07442&quot;/&gt;&lt;wsp:rsid wsp:val=&quot;00E0792C&quot;/&gt;&lt;wsp:rsid wsp:val=&quot;00E21A2A&quot;/&gt;&lt;wsp:rsid wsp:val=&quot;00E22785&quot;/&gt;&lt;wsp:rsid wsp:val=&quot;00E231EC&quot;/&gt;&lt;wsp:rsid wsp:val=&quot;00E2514D&quot;/&gt;&lt;wsp:rsid wsp:val=&quot;00E2561E&quot;/&gt;&lt;wsp:rsid wsp:val=&quot;00E262A6&quot;/&gt;&lt;wsp:rsid wsp:val=&quot;00E2656A&quot;/&gt;&lt;wsp:rsid wsp:val=&quot;00E27165&quot;/&gt;&lt;wsp:rsid wsp:val=&quot;00E27903&quot;/&gt;&lt;wsp:rsid wsp:val=&quot;00E30A67&quot;/&gt;&lt;wsp:rsid wsp:val=&quot;00E31FD2&quot;/&gt;&lt;wsp:rsid wsp:val=&quot;00E345D4&quot;/&gt;&lt;wsp:rsid wsp:val=&quot;00E34F30&quot;/&gt;&lt;wsp:rsid wsp:val=&quot;00E35B6B&quot;/&gt;&lt;wsp:rsid wsp:val=&quot;00E36EE1&quot;/&gt;&lt;wsp:rsid wsp:val=&quot;00E40594&quot;/&gt;&lt;wsp:rsid wsp:val=&quot;00E412D0&quot;/&gt;&lt;wsp:rsid wsp:val=&quot;00E46233&quot;/&gt;&lt;wsp:rsid wsp:val=&quot;00E50F6D&quot;/&gt;&lt;wsp:rsid wsp:val=&quot;00E55F57&quot;/&gt;&lt;wsp:rsid wsp:val=&quot;00E56322&quot;/&gt;&lt;wsp:rsid wsp:val=&quot;00E566CD&quot;/&gt;&lt;wsp:rsid wsp:val=&quot;00E60193&quot;/&gt;&lt;wsp:rsid wsp:val=&quot;00E60982&quot;/&gt;&lt;wsp:rsid wsp:val=&quot;00E61311&quot;/&gt;&lt;wsp:rsid wsp:val=&quot;00E62A48&quot;/&gt;&lt;wsp:rsid wsp:val=&quot;00E62C62&quot;/&gt;&lt;wsp:rsid wsp:val=&quot;00E644F1&quot;/&gt;&lt;wsp:rsid wsp:val=&quot;00E646C6&quot;/&gt;&lt;wsp:rsid wsp:val=&quot;00E654C1&quot;/&gt;&lt;wsp:rsid wsp:val=&quot;00E65D97&quot;/&gt;&lt;wsp:rsid wsp:val=&quot;00E66A25&quot;/&gt;&lt;wsp:rsid wsp:val=&quot;00E70071&quot;/&gt;&lt;wsp:rsid wsp:val=&quot;00E7147E&quot;/&gt;&lt;wsp:rsid wsp:val=&quot;00E72A5A&quot;/&gt;&lt;wsp:rsid wsp:val=&quot;00E73354&quot;/&gt;&lt;wsp:rsid wsp:val=&quot;00E766E3&quot;/&gt;&lt;wsp:rsid wsp:val=&quot;00E83230&quot;/&gt;&lt;wsp:rsid wsp:val=&quot;00E843F7&quot;/&gt;&lt;wsp:rsid wsp:val=&quot;00E87B3F&quot;/&gt;&lt;wsp:rsid wsp:val=&quot;00E914A0&quot;/&gt;&lt;wsp:rsid wsp:val=&quot;00E9242D&quot;/&gt;&lt;wsp:rsid wsp:val=&quot;00E972A1&quot;/&gt;&lt;wsp:rsid wsp:val=&quot;00EA00E0&quot;/&gt;&lt;wsp:rsid wsp:val=&quot;00EA0209&quot;/&gt;&lt;wsp:rsid wsp:val=&quot;00EB4EAD&quot;/&gt;&lt;wsp:rsid wsp:val=&quot;00EB5255&quot;/&gt;&lt;wsp:rsid wsp:val=&quot;00EB5C47&quot;/&gt;&lt;wsp:rsid wsp:val=&quot;00EC02CF&quot;/&gt;&lt;wsp:rsid wsp:val=&quot;00EC6CFD&quot;/&gt;&lt;wsp:rsid wsp:val=&quot;00ED0639&quot;/&gt;&lt;wsp:rsid wsp:val=&quot;00ED0BAE&quot;/&gt;&lt;wsp:rsid wsp:val=&quot;00ED41B1&quot;/&gt;&lt;wsp:rsid wsp:val=&quot;00EE3F01&quot;/&gt;&lt;wsp:rsid wsp:val=&quot;00EE4923&quot;/&gt;&lt;wsp:rsid wsp:val=&quot;00EF1793&quot;/&gt;&lt;wsp:rsid wsp:val=&quot;00EF4755&quot;/&gt;&lt;wsp:rsid wsp:val=&quot;00EF7135&quot;/&gt;&lt;wsp:rsid wsp:val=&quot;00F02438&quot;/&gt;&lt;wsp:rsid wsp:val=&quot;00F027DB&quot;/&gt;&lt;wsp:rsid wsp:val=&quot;00F02B7E&quot;/&gt;&lt;wsp:rsid wsp:val=&quot;00F037B7&quot;/&gt;&lt;wsp:rsid wsp:val=&quot;00F05A74&quot;/&gt;&lt;wsp:rsid wsp:val=&quot;00F05A86&quot;/&gt;&lt;wsp:rsid wsp:val=&quot;00F107DA&quot;/&gt;&lt;wsp:rsid wsp:val=&quot;00F10BDC&quot;/&gt;&lt;wsp:rsid wsp:val=&quot;00F11230&quot;/&gt;&lt;wsp:rsid wsp:val=&quot;00F12294&quot;/&gt;&lt;wsp:rsid wsp:val=&quot;00F14778&quot;/&gt;&lt;wsp:rsid wsp:val=&quot;00F14A7A&quot;/&gt;&lt;wsp:rsid wsp:val=&quot;00F160E0&quot;/&gt;&lt;wsp:rsid wsp:val=&quot;00F16CEE&quot;/&gt;&lt;wsp:rsid wsp:val=&quot;00F176C6&quot;/&gt;&lt;wsp:rsid wsp:val=&quot;00F21F75&quot;/&gt;&lt;wsp:rsid wsp:val=&quot;00F2254B&quot;/&gt;&lt;wsp:rsid wsp:val=&quot;00F22985&quot;/&gt;&lt;wsp:rsid wsp:val=&quot;00F24760&quot;/&gt;&lt;wsp:rsid wsp:val=&quot;00F2663F&quot;/&gt;&lt;wsp:rsid wsp:val=&quot;00F26662&quot;/&gt;&lt;wsp:rsid wsp:val=&quot;00F277FF&quot;/&gt;&lt;wsp:rsid wsp:val=&quot;00F30194&quot;/&gt;&lt;wsp:rsid wsp:val=&quot;00F30329&quot;/&gt;&lt;wsp:rsid wsp:val=&quot;00F30FD9&quot;/&gt;&lt;wsp:rsid wsp:val=&quot;00F32324&quot;/&gt;&lt;wsp:rsid wsp:val=&quot;00F33172&quot;/&gt;&lt;wsp:rsid wsp:val=&quot;00F3383E&quot;/&gt;&lt;wsp:rsid wsp:val=&quot;00F409BC&quot;/&gt;&lt;wsp:rsid wsp:val=&quot;00F44A78&quot;/&gt;&lt;wsp:rsid wsp:val=&quot;00F465A7&quot;/&gt;&lt;wsp:rsid wsp:val=&quot;00F50B7C&quot;/&gt;&lt;wsp:rsid wsp:val=&quot;00F51F3B&quot;/&gt;&lt;wsp:rsid wsp:val=&quot;00F526F8&quot;/&gt;&lt;wsp:rsid wsp:val=&quot;00F532C2&quot;/&gt;&lt;wsp:rsid wsp:val=&quot;00F550E6&quot;/&gt;&lt;wsp:rsid wsp:val=&quot;00F604F6&quot;/&gt;&lt;wsp:rsid wsp:val=&quot;00F66E2A&quot;/&gt;&lt;wsp:rsid wsp:val=&quot;00F66F48&quot;/&gt;&lt;wsp:rsid wsp:val=&quot;00F726A9&quot;/&gt;&lt;wsp:rsid wsp:val=&quot;00F734EB&quot;/&gt;&lt;wsp:rsid wsp:val=&quot;00F74345&quot;/&gt;&lt;wsp:rsid wsp:val=&quot;00F74CC6&quot;/&gt;&lt;wsp:rsid wsp:val=&quot;00F775FB&quot;/&gt;&lt;wsp:rsid wsp:val=&quot;00F77F00&quot;/&gt;&lt;wsp:rsid wsp:val=&quot;00F80A0A&quot;/&gt;&lt;wsp:rsid wsp:val=&quot;00F81D98&quot;/&gt;&lt;wsp:rsid wsp:val=&quot;00F8234E&quot;/&gt;&lt;wsp:rsid wsp:val=&quot;00F82B19&quot;/&gt;&lt;wsp:rsid wsp:val=&quot;00F83293&quot;/&gt;&lt;wsp:rsid wsp:val=&quot;00F841E8&quot;/&gt;&lt;wsp:rsid wsp:val=&quot;00F84523&quot;/&gt;&lt;wsp:rsid wsp:val=&quot;00F84C02&quot;/&gt;&lt;wsp:rsid wsp:val=&quot;00F857D8&quot;/&gt;&lt;wsp:rsid wsp:val=&quot;00F86F8A&quot;/&gt;&lt;wsp:rsid wsp:val=&quot;00F903B7&quot;/&gt;&lt;wsp:rsid wsp:val=&quot;00F906F5&quot;/&gt;&lt;wsp:rsid wsp:val=&quot;00F9212D&quot;/&gt;&lt;wsp:rsid wsp:val=&quot;00F9375C&quot;/&gt;&lt;wsp:rsid wsp:val=&quot;00F93761&quot;/&gt;&lt;wsp:rsid wsp:val=&quot;00F941D3&quot;/&gt;&lt;wsp:rsid wsp:val=&quot;00F94443&quot;/&gt;&lt;wsp:rsid wsp:val=&quot;00F94DE7&quot;/&gt;&lt;wsp:rsid wsp:val=&quot;00F965DA&quot;/&gt;&lt;wsp:rsid wsp:val=&quot;00F975D3&quot;/&gt;&lt;wsp:rsid wsp:val=&quot;00F97F5F&quot;/&gt;&lt;wsp:rsid wsp:val=&quot;00FA0AC7&quot;/&gt;&lt;wsp:rsid wsp:val=&quot;00FA0DA8&quot;/&gt;&lt;wsp:rsid wsp:val=&quot;00FA3FD3&quot;/&gt;&lt;wsp:rsid wsp:val=&quot;00FA406A&quot;/&gt;&lt;wsp:rsid wsp:val=&quot;00FA43D4&quot;/&gt;&lt;wsp:rsid wsp:val=&quot;00FA4839&quot;/&gt;&lt;wsp:rsid wsp:val=&quot;00FA7525&quot;/&gt;&lt;wsp:rsid wsp:val=&quot;00FB0FA5&quot;/&gt;&lt;wsp:rsid wsp:val=&quot;00FB1683&quot;/&gt;&lt;wsp:rsid wsp:val=&quot;00FB503A&quot;/&gt;&lt;wsp:rsid wsp:val=&quot;00FB516C&quot;/&gt;&lt;wsp:rsid wsp:val=&quot;00FB5964&quot;/&gt;&lt;wsp:rsid wsp:val=&quot;00FB660C&quot;/&gt;&lt;wsp:rsid wsp:val=&quot;00FC3C6A&quot;/&gt;&lt;wsp:rsid wsp:val=&quot;00FC55BC&quot;/&gt;&lt;wsp:rsid wsp:val=&quot;00FC575C&quot;/&gt;&lt;wsp:rsid wsp:val=&quot;00FD0236&quot;/&gt;&lt;wsp:rsid wsp:val=&quot;00FD18F4&quot;/&gt;&lt;wsp:rsid wsp:val=&quot;00FD1D2F&quot;/&gt;&lt;wsp:rsid wsp:val=&quot;00FD2337&quot;/&gt;&lt;wsp:rsid wsp:val=&quot;00FD54DB&quot;/&gt;&lt;wsp:rsid wsp:val=&quot;00FD619F&quot;/&gt;&lt;wsp:rsid wsp:val=&quot;00FE16A3&quot;/&gt;&lt;wsp:rsid wsp:val=&quot;00FE19DC&quot;/&gt;&lt;wsp:rsid wsp:val=&quot;00FE2048&quot;/&gt;&lt;wsp:rsid wsp:val=&quot;00FE5838&quot;/&gt;&lt;wsp:rsid wsp:val=&quot;00FE7412&quot;/&gt;&lt;wsp:rsid wsp:val=&quot;00FF0E21&quot;/&gt;&lt;wsp:rsid wsp:val=&quot;00FF45D0&quot;/&gt;&lt;wsp:rsid wsp:val=&quot;01290F7E&quot;/&gt;&lt;wsp:rsid wsp:val=&quot;015D1E09&quot;/&gt;&lt;wsp:rsid wsp:val=&quot;01753746&quot;/&gt;&lt;wsp:rsid wsp:val=&quot;01886C6F&quot;/&gt;&lt;wsp:rsid wsp:val=&quot;018C7910&quot;/&gt;&lt;wsp:rsid wsp:val=&quot;019F3B30&quot;/&gt;&lt;wsp:rsid wsp:val=&quot;01AD0A5B&quot;/&gt;&lt;wsp:rsid wsp:val=&quot;021F7F58&quot;/&gt;&lt;wsp:rsid wsp:val=&quot;022E3AC6&quot;/&gt;&lt;wsp:rsid wsp:val=&quot;02534ED4&quot;/&gt;&lt;wsp:rsid wsp:val=&quot;02697903&quot;/&gt;&lt;wsp:rsid wsp:val=&quot;02821A69&quot;/&gt;&lt;wsp:rsid wsp:val=&quot;02EE51B0&quot;/&gt;&lt;wsp:rsid wsp:val=&quot;02F96569&quot;/&gt;&lt;wsp:rsid wsp:val=&quot;03723129&quot;/&gt;&lt;wsp:rsid wsp:val=&quot;03DA6CFE&quot;/&gt;&lt;wsp:rsid wsp:val=&quot;03EA7B21&quot;/&gt;&lt;wsp:rsid wsp:val=&quot;040354C1&quot;/&gt;&lt;wsp:rsid wsp:val=&quot;047C3C16&quot;/&gt;&lt;wsp:rsid wsp:val=&quot;0496791B&quot;/&gt;&lt;wsp:rsid wsp:val=&quot;04E349EC&quot;/&gt;&lt;wsp:rsid wsp:val=&quot;05361690&quot;/&gt;&lt;wsp:rsid wsp:val=&quot;054E7B36&quot;/&gt;&lt;wsp:rsid wsp:val=&quot;058D172D&quot;/&gt;&lt;wsp:rsid wsp:val=&quot;05F83EAE&quot;/&gt;&lt;wsp:rsid wsp:val=&quot;06253F47&quot;/&gt;&lt;wsp:rsid wsp:val=&quot;063E7D85&quot;/&gt;&lt;wsp:rsid wsp:val=&quot;06AF5C5B&quot;/&gt;&lt;wsp:rsid wsp:val=&quot;06C17066&quot;/&gt;&lt;wsp:rsid wsp:val=&quot;06D465A1&quot;/&gt;&lt;wsp:rsid wsp:val=&quot;07293586&quot;/&gt;&lt;wsp:rsid wsp:val=&quot;07295285&quot;/&gt;&lt;wsp:rsid wsp:val=&quot;07636392&quot;/&gt;&lt;wsp:rsid wsp:val=&quot;076E21B0&quot;/&gt;&lt;wsp:rsid wsp:val=&quot;0775167C&quot;/&gt;&lt;wsp:rsid wsp:val=&quot;07770C56&quot;/&gt;&lt;wsp:rsid wsp:val=&quot;07852DBD&quot;/&gt;&lt;wsp:rsid wsp:val=&quot;07CD6AF7&quot;/&gt;&lt;wsp:rsid wsp:val=&quot;07CF4038&quot;/&gt;&lt;wsp:rsid wsp:val=&quot;07EF54F7&quot;/&gt;&lt;wsp:rsid wsp:val=&quot;08391C14&quot;/&gt;&lt;wsp:rsid wsp:val=&quot;086929F5&quot;/&gt;&lt;wsp:rsid wsp:val=&quot;087C05B2&quot;/&gt;&lt;wsp:rsid wsp:val=&quot;0882554E&quot;/&gt;&lt;wsp:rsid wsp:val=&quot;089E66F4&quot;/&gt;&lt;wsp:rsid wsp:val=&quot;08DA60EF&quot;/&gt;&lt;wsp:rsid wsp:val=&quot;0909481F&quot;/&gt;&lt;wsp:rsid wsp:val=&quot;092217DD&quot;/&gt;&lt;wsp:rsid wsp:val=&quot;093A7294&quot;/&gt;&lt;wsp:rsid wsp:val=&quot;09491BC8&quot;/&gt;&lt;wsp:rsid wsp:val=&quot;096E1B78&quot;/&gt;&lt;wsp:rsid wsp:val=&quot;098B2E89&quot;/&gt;&lt;wsp:rsid wsp:val=&quot;09A247B3&quot;/&gt;&lt;wsp:rsid wsp:val=&quot;09A32B0F&quot;/&gt;&lt;wsp:rsid wsp:val=&quot;09BB5D90&quot;/&gt;&lt;wsp:rsid wsp:val=&quot;0A0D622F&quot;/&gt;&lt;wsp:rsid wsp:val=&quot;0A263993&quot;/&gt;&lt;wsp:rsid wsp:val=&quot;0A265078&quot;/&gt;&lt;wsp:rsid wsp:val=&quot;0A2D3AC2&quot;/&gt;&lt;wsp:rsid wsp:val=&quot;0A710725&quot;/&gt;&lt;wsp:rsid wsp:val=&quot;0A825EE0&quot;/&gt;&lt;wsp:rsid wsp:val=&quot;0AA755DF&quot;/&gt;&lt;wsp:rsid wsp:val=&quot;0AAC68B2&quot;/&gt;&lt;wsp:rsid wsp:val=&quot;0ADE47DF&quot;/&gt;&lt;wsp:rsid wsp:val=&quot;0B120D44&quot;/&gt;&lt;wsp:rsid wsp:val=&quot;0B415BEC&quot;/&gt;&lt;wsp:rsid wsp:val=&quot;0B567948&quot;/&gt;&lt;wsp:rsid wsp:val=&quot;0BA11E4E&quot;/&gt;&lt;wsp:rsid wsp:val=&quot;0BD27BF6&quot;/&gt;&lt;wsp:rsid wsp:val=&quot;0C1C357A&quot;/&gt;&lt;wsp:rsid wsp:val=&quot;0C30382F&quot;/&gt;&lt;wsp:rsid wsp:val=&quot;0C3B3C7D&quot;/&gt;&lt;wsp:rsid wsp:val=&quot;0C6E44FE&quot;/&gt;&lt;wsp:rsid wsp:val=&quot;0C7D1185&quot;/&gt;&lt;wsp:rsid wsp:val=&quot;0CA453B9&quot;/&gt;&lt;wsp:rsid wsp:val=&quot;0CAB2EAE&quot;/&gt;&lt;wsp:rsid wsp:val=&quot;0CE827FC&quot;/&gt;&lt;wsp:rsid wsp:val=&quot;0CEB16C8&quot;/&gt;&lt;wsp:rsid wsp:val=&quot;0CEE165D&quot;/&gt;&lt;wsp:rsid wsp:val=&quot;0D3130BF&quot;/&gt;&lt;wsp:rsid wsp:val=&quot;0D621C7D&quot;/&gt;&lt;wsp:rsid wsp:val=&quot;0D8C3822&quot;/&gt;&lt;wsp:rsid wsp:val=&quot;0E2660EF&quot;/&gt;&lt;wsp:rsid wsp:val=&quot;0E5928AD&quot;/&gt;&lt;wsp:rsid wsp:val=&quot;0E6B438E&quot;/&gt;&lt;wsp:rsid wsp:val=&quot;0E715598&quot;/&gt;&lt;wsp:rsid wsp:val=&quot;0E73034D&quot;/&gt;&lt;wsp:rsid wsp:val=&quot;0EEB72F3&quot;/&gt;&lt;wsp:rsid wsp:val=&quot;0EED500D&quot;/&gt;&lt;wsp:rsid wsp:val=&quot;0EF425D6&quot;/&gt;&lt;wsp:rsid wsp:val=&quot;0F13775A&quot;/&gt;&lt;wsp:rsid wsp:val=&quot;0F1F5E30&quot;/&gt;&lt;wsp:rsid wsp:val=&quot;0F5F45FE&quot;/&gt;&lt;wsp:rsid wsp:val=&quot;0F9A112B&quot;/&gt;&lt;wsp:rsid wsp:val=&quot;100250BF&quot;/&gt;&lt;wsp:rsid wsp:val=&quot;106D2F64&quot;/&gt;&lt;wsp:rsid wsp:val=&quot;10A2566A&quot;/&gt;&lt;wsp:rsid wsp:val=&quot;10B63710&quot;/&gt;&lt;wsp:rsid wsp:val=&quot;10F10820&quot;/&gt;&lt;wsp:rsid wsp:val=&quot;10F515EE&quot;/&gt;&lt;wsp:rsid wsp:val=&quot;11090198&quot;/&gt;&lt;wsp:rsid wsp:val=&quot;111C2F7A&quot;/&gt;&lt;wsp:rsid wsp:val=&quot;1123404A&quot;/&gt;&lt;wsp:rsid wsp:val=&quot;114A0BD3&quot;/&gt;&lt;wsp:rsid wsp:val=&quot;11571444&quot;/&gt;&lt;wsp:rsid wsp:val=&quot;11665CA1&quot;/&gt;&lt;wsp:rsid wsp:val=&quot;1193641A&quot;/&gt;&lt;wsp:rsid wsp:val=&quot;11CA166E&quot;/&gt;&lt;wsp:rsid wsp:val=&quot;123254A4&quot;/&gt;&lt;wsp:rsid wsp:val=&quot;12997BFF&quot;/&gt;&lt;wsp:rsid wsp:val=&quot;12AC38F3&quot;/&gt;&lt;wsp:rsid wsp:val=&quot;13182D37&quot;/&gt;&lt;wsp:rsid wsp:val=&quot;13951726&quot;/&gt;&lt;wsp:rsid wsp:val=&quot;13970EEA&quot;/&gt;&lt;wsp:rsid wsp:val=&quot;13CB596D&quot;/&gt;&lt;wsp:rsid wsp:val=&quot;13CC3254&quot;/&gt;&lt;wsp:rsid wsp:val=&quot;141B6E1E&quot;/&gt;&lt;wsp:rsid wsp:val=&quot;14220022&quot;/&gt;&lt;wsp:rsid wsp:val=&quot;14396509&quot;/&gt;&lt;wsp:rsid wsp:val=&quot;144C67D2&quot;/&gt;&lt;wsp:rsid wsp:val=&quot;145558C5&quot;/&gt;&lt;wsp:rsid wsp:val=&quot;145850C6&quot;/&gt;&lt;wsp:rsid wsp:val=&quot;14BA6FEF&quot;/&gt;&lt;wsp:rsid wsp:val=&quot;14DD2C3C&quot;/&gt;&lt;wsp:rsid wsp:val=&quot;14EA425F&quot;/&gt;&lt;wsp:rsid wsp:val=&quot;151003FB&quot;/&gt;&lt;wsp:rsid wsp:val=&quot;153463B7&quot;/&gt;&lt;wsp:rsid wsp:val=&quot;15396384&quot;/&gt;&lt;wsp:rsid wsp:val=&quot;15436517&quot;/&gt;&lt;wsp:rsid wsp:val=&quot;154F1FA2&quot;/&gt;&lt;wsp:rsid wsp:val=&quot;158E5532&quot;/&gt;&lt;wsp:rsid wsp:val=&quot;159863B1&quot;/&gt;&lt;wsp:rsid wsp:val=&quot;16087E1D&quot;/&gt;&lt;wsp:rsid wsp:val=&quot;16294CD0&quot;/&gt;&lt;wsp:rsid wsp:val=&quot;16D36F75&quot;/&gt;&lt;wsp:rsid wsp:val=&quot;17127177&quot;/&gt;&lt;wsp:rsid wsp:val=&quot;174B595A&quot;/&gt;&lt;wsp:rsid wsp:val=&quot;174D4F79&quot;/&gt;&lt;wsp:rsid wsp:val=&quot;176F3141&quot;/&gt;&lt;wsp:rsid wsp:val=&quot;17701D14&quot;/&gt;&lt;wsp:rsid wsp:val=&quot;17735226&quot;/&gt;&lt;wsp:rsid wsp:val=&quot;177B3E6B&quot;/&gt;&lt;wsp:rsid wsp:val=&quot;17EE16B8&quot;/&gt;&lt;wsp:rsid wsp:val=&quot;182B3C2C&quot;/&gt;&lt;wsp:rsid wsp:val=&quot;1835327C&quot;/&gt;&lt;wsp:rsid wsp:val=&quot;186143C2&quot;/&gt;&lt;wsp:rsid wsp:val=&quot;189F624C&quot;/&gt;&lt;wsp:rsid wsp:val=&quot;18BF512F&quot;/&gt;&lt;wsp:rsid wsp:val=&quot;18FC7448&quot;/&gt;&lt;wsp:rsid wsp:val=&quot;19022CA3&quot;/&gt;&lt;wsp:rsid wsp:val=&quot;192C2713&quot;/&gt;&lt;wsp:rsid wsp:val=&quot;193F15CB&quot;/&gt;&lt;wsp:rsid wsp:val=&quot;19540841&quot;/&gt;&lt;wsp:rsid wsp:val=&quot;19670574&quot;/&gt;&lt;wsp:rsid wsp:val=&quot;19672D11&quot;/&gt;&lt;wsp:rsid wsp:val=&quot;19817EF8&quot;/&gt;&lt;wsp:rsid wsp:val=&quot;199C0018&quot;/&gt;&lt;wsp:rsid wsp:val=&quot;19ED3447&quot;/&gt;&lt;wsp:rsid wsp:val=&quot;1A0A2A87&quot;/&gt;&lt;wsp:rsid wsp:val=&quot;1A1C66C0&quot;/&gt;&lt;wsp:rsid wsp:val=&quot;1A337F70&quot;/&gt;&lt;wsp:rsid wsp:val=&quot;1A402B73&quot;/&gt;&lt;wsp:rsid wsp:val=&quot;1A42393B&quot;/&gt;&lt;wsp:rsid wsp:val=&quot;1A8663A0&quot;/&gt;&lt;wsp:rsid wsp:val=&quot;1AAD45DE&quot;/&gt;&lt;wsp:rsid wsp:val=&quot;1AC6549B&quot;/&gt;&lt;wsp:rsid wsp:val=&quot;1B046F80&quot;/&gt;&lt;wsp:rsid wsp:val=&quot;1B067919&quot;/&gt;&lt;wsp:rsid wsp:val=&quot;1B171B26&quot;/&gt;&lt;wsp:rsid wsp:val=&quot;1B3267B5&quot;/&gt;&lt;wsp:rsid wsp:val=&quot;1B40161D&quot;/&gt;&lt;wsp:rsid wsp:val=&quot;1B441859&quot;/&gt;&lt;wsp:rsid wsp:val=&quot;1B522B5E&quot;/&gt;&lt;wsp:rsid wsp:val=&quot;1B6606B1&quot;/&gt;&lt;wsp:rsid wsp:val=&quot;1B83540D&quot;/&gt;&lt;wsp:rsid wsp:val=&quot;1BB92689&quot;/&gt;&lt;wsp:rsid wsp:val=&quot;1BDD6308&quot;/&gt;&lt;wsp:rsid wsp:val=&quot;1C170489&quot;/&gt;&lt;wsp:rsid wsp:val=&quot;1C201A78&quot;/&gt;&lt;wsp:rsid wsp:val=&quot;1C5D17BA&quot;/&gt;&lt;wsp:rsid wsp:val=&quot;1C5E7925&quot;/&gt;&lt;wsp:rsid wsp:val=&quot;1C896A53&quot;/&gt;&lt;wsp:rsid wsp:val=&quot;1C9B72E6&quot;/&gt;&lt;wsp:rsid wsp:val=&quot;1CD13F56&quot;/&gt;&lt;wsp:rsid wsp:val=&quot;1CFD070F&quot;/&gt;&lt;wsp:rsid wsp:val=&quot;1D53364D&quot;/&gt;&lt;wsp:rsid wsp:val=&quot;1D5F6196&quot;/&gt;&lt;wsp:rsid wsp:val=&quot;1D6132A5&quot;/&gt;&lt;wsp:rsid wsp:val=&quot;1D8E56D5&quot;/&gt;&lt;wsp:rsid wsp:val=&quot;1DAB47A7&quot;/&gt;&lt;wsp:rsid wsp:val=&quot;1DBA12AF&quot;/&gt;&lt;wsp:rsid wsp:val=&quot;1E05210A&quot;/&gt;&lt;wsp:rsid wsp:val=&quot;1E1B192D&quot;/&gt;&lt;wsp:rsid wsp:val=&quot;1E205195&quot;/&gt;&lt;wsp:rsid wsp:val=&quot;1E465A85&quot;/&gt;&lt;wsp:rsid wsp:val=&quot;1E6A3AB6&quot;/&gt;&lt;wsp:rsid wsp:val=&quot;1E7A43DA&quot;/&gt;&lt;wsp:rsid wsp:val=&quot;1E7E58E4&quot;/&gt;&lt;wsp:rsid wsp:val=&quot;1E91399D&quot;/&gt;&lt;wsp:rsid wsp:val=&quot;1E9811D0&quot;/&gt;&lt;wsp:rsid wsp:val=&quot;1F0F2DA3&quot;/&gt;&lt;wsp:rsid wsp:val=&quot;1F330BC9&quot;/&gt;&lt;wsp:rsid wsp:val=&quot;1FAC1BD6&quot;/&gt;&lt;wsp:rsid wsp:val=&quot;1FC55BF9&quot;/&gt;&lt;wsp:rsid wsp:val=&quot;1FE7539E&quot;/&gt;&lt;wsp:rsid wsp:val=&quot;1FEC3A03&quot;/&gt;&lt;wsp:rsid wsp:val=&quot;201725C8&quot;/&gt;&lt;wsp:rsid wsp:val=&quot;20344257&quot;/&gt;&lt;wsp:rsid wsp:val=&quot;203B6335&quot;/&gt;&lt;wsp:rsid wsp:val=&quot;20586D1B&quot;/&gt;&lt;wsp:rsid wsp:val=&quot;20671BE0&quot;/&gt;&lt;wsp:rsid wsp:val=&quot;206E085D&quot;/&gt;&lt;wsp:rsid wsp:val=&quot;206E1437&quot;/&gt;&lt;wsp:rsid wsp:val=&quot;20951D58&quot;/&gt;&lt;wsp:rsid wsp:val=&quot;20963CB8&quot;/&gt;&lt;wsp:rsid wsp:val=&quot;20A81A1B&quot;/&gt;&lt;wsp:rsid wsp:val=&quot;20B07FB6&quot;/&gt;&lt;wsp:rsid wsp:val=&quot;20B646FB&quot;/&gt;&lt;wsp:rsid wsp:val=&quot;20D26415&quot;/&gt;&lt;wsp:rsid wsp:val=&quot;212C7130&quot;/&gt;&lt;wsp:rsid wsp:val=&quot;213B74B1&quot;/&gt;&lt;wsp:rsid wsp:val=&quot;2147756F&quot;/&gt;&lt;wsp:rsid wsp:val=&quot;215A2310&quot;/&gt;&lt;wsp:rsid wsp:val=&quot;218D4053&quot;/&gt;&lt;wsp:rsid wsp:val=&quot;2198698A&quot;/&gt;&lt;wsp:rsid wsp:val=&quot;21A1039B&quot;/&gt;&lt;wsp:rsid wsp:val=&quot;21DA565B&quot;/&gt;&lt;wsp:rsid wsp:val=&quot;21DE318A&quot;/&gt;&lt;wsp:rsid wsp:val=&quot;21E02DE4&quot;/&gt;&lt;wsp:rsid wsp:val=&quot;21EA7F94&quot;/&gt;&lt;wsp:rsid wsp:val=&quot;21EF5B80&quot;/&gt;&lt;wsp:rsid wsp:val=&quot;21FE005D&quot;/&gt;&lt;wsp:rsid wsp:val=&quot;22462793&quot;/&gt;&lt;wsp:rsid wsp:val=&quot;22576990&quot;/&gt;&lt;wsp:rsid wsp:val=&quot;22665141&quot;/&gt;&lt;wsp:rsid wsp:val=&quot;228C4BA7&quot;/&gt;&lt;wsp:rsid wsp:val=&quot;22963C78&quot;/&gt;&lt;wsp:rsid wsp:val=&quot;22F47480&quot;/&gt;&lt;wsp:rsid wsp:val=&quot;23027D5E&quot;/&gt;&lt;wsp:rsid wsp:val=&quot;231B779A&quot;/&gt;&lt;wsp:rsid wsp:val=&quot;23223022&quot;/&gt;&lt;wsp:rsid wsp:val=&quot;23305BCF&quot;/&gt;&lt;wsp:rsid wsp:val=&quot;236B6EB3&quot;/&gt;&lt;wsp:rsid wsp:val=&quot;239755FD&quot;/&gt;&lt;wsp:rsid wsp:val=&quot;23AB3753&quot;/&gt;&lt;wsp:rsid wsp:val=&quot;23DE1C48&quot;/&gt;&lt;wsp:rsid wsp:val=&quot;23E87C34&quot;/&gt;&lt;wsp:rsid wsp:val=&quot;240210CD&quot;/&gt;&lt;wsp:rsid wsp:val=&quot;248F1A88&quot;/&gt;&lt;wsp:rsid wsp:val=&quot;24910737&quot;/&gt;&lt;wsp:rsid wsp:val=&quot;24952167&quot;/&gt;&lt;wsp:rsid wsp:val=&quot;24A81A41&quot;/&gt;&lt;wsp:rsid wsp:val=&quot;24B40CDE&quot;/&gt;&lt;wsp:rsid wsp:val=&quot;24BF09F7&quot;/&gt;&lt;wsp:rsid wsp:val=&quot;252D53FE&quot;/&gt;&lt;wsp:rsid wsp:val=&quot;257162D7&quot;/&gt;&lt;wsp:rsid wsp:val=&quot;25725018&quot;/&gt;&lt;wsp:rsid wsp:val=&quot;25B1778B&quot;/&gt;&lt;wsp:rsid wsp:val=&quot;25D725DE&quot;/&gt;&lt;wsp:rsid wsp:val=&quot;25EC2D81&quot;/&gt;&lt;wsp:rsid wsp:val=&quot;2627132E&quot;/&gt;&lt;wsp:rsid wsp:val=&quot;263C5A6F&quot;/&gt;&lt;wsp:rsid wsp:val=&quot;265901AD&quot;/&gt;&lt;wsp:rsid wsp:val=&quot;265A565A&quot;/&gt;&lt;wsp:rsid wsp:val=&quot;26A225AD&quot;/&gt;&lt;wsp:rsid wsp:val=&quot;26B474A7&quot;/&gt;&lt;wsp:rsid wsp:val=&quot;26E46C7B&quot;/&gt;&lt;wsp:rsid wsp:val=&quot;271E248E&quot;/&gt;&lt;wsp:rsid wsp:val=&quot;277057A2&quot;/&gt;&lt;wsp:rsid wsp:val=&quot;27845454&quot;/&gt;&lt;wsp:rsid wsp:val=&quot;27CE5C62&quot;/&gt;&lt;wsp:rsid wsp:val=&quot;27D97275&quot;/&gt;&lt;wsp:rsid wsp:val=&quot;27EC2BD2&quot;/&gt;&lt;wsp:rsid wsp:val=&quot;28110ABB&quot;/&gt;&lt;wsp:rsid wsp:val=&quot;283D69F1&quot;/&gt;&lt;wsp:rsid wsp:val=&quot;29206EB8&quot;/&gt;&lt;wsp:rsid wsp:val=&quot;29235B3A&quot;/&gt;&lt;wsp:rsid wsp:val=&quot;292C08CF&quot;/&gt;&lt;wsp:rsid wsp:val=&quot;294D2355&quot;/&gt;&lt;wsp:rsid wsp:val=&quot;29595666&quot;/&gt;&lt;wsp:rsid wsp:val=&quot;29707A8F&quot;/&gt;&lt;wsp:rsid wsp:val=&quot;29874881&quot;/&gt;&lt;wsp:rsid wsp:val=&quot;298F1421&quot;/&gt;&lt;wsp:rsid wsp:val=&quot;29E325E0&quot;/&gt;&lt;wsp:rsid wsp:val=&quot;2A0D49F1&quot;/&gt;&lt;wsp:rsid wsp:val=&quot;2A252C00&quot;/&gt;&lt;wsp:rsid wsp:val=&quot;2A452503&quot;/&gt;&lt;wsp:rsid wsp:val=&quot;2A65541B&quot;/&gt;&lt;wsp:rsid wsp:val=&quot;2A81749E&quot;/&gt;&lt;wsp:rsid wsp:val=&quot;2A9431F0&quot;/&gt;&lt;wsp:rsid wsp:val=&quot;2AA236B5&quot;/&gt;&lt;wsp:rsid wsp:val=&quot;2ADB491E&quot;/&gt;&lt;wsp:rsid wsp:val=&quot;2B141BDE&quot;/&gt;&lt;wsp:rsid wsp:val=&quot;2B1F5206&quot;/&gt;&lt;wsp:rsid wsp:val=&quot;2B381D70&quot;/&gt;&lt;wsp:rsid wsp:val=&quot;2B3F0D62&quot;/&gt;&lt;wsp:rsid wsp:val=&quot;2B41088E&quot;/&gt;&lt;wsp:rsid wsp:val=&quot;2B65243A&quot;/&gt;&lt;wsp:rsid wsp:val=&quot;2B6527BD&quot;/&gt;&lt;wsp:rsid wsp:val=&quot;2BA936A8&quot;/&gt;&lt;wsp:rsid wsp:val=&quot;2BEE74ED&quot;/&gt;&lt;wsp:rsid wsp:val=&quot;2C2461A6&quot;/&gt;&lt;wsp:rsid wsp:val=&quot;2C3027C9&quot;/&gt;&lt;wsp:rsid wsp:val=&quot;2C315A5A&quot;/&gt;&lt;wsp:rsid wsp:val=&quot;2C3A5674&quot;/&gt;&lt;wsp:rsid wsp:val=&quot;2C4B1C25&quot;/&gt;&lt;wsp:rsid wsp:val=&quot;2C801CFA&quot;/&gt;&lt;wsp:rsid wsp:val=&quot;2C9C1689&quot;/&gt;&lt;wsp:rsid wsp:val=&quot;2CAC23F9&quot;/&gt;&lt;wsp:rsid wsp:val=&quot;2CCF3A67&quot;/&gt;&lt;wsp:rsid wsp:val=&quot;2CD94E8D&quot;/&gt;&lt;wsp:rsid wsp:val=&quot;2D254588&quot;/&gt;&lt;wsp:rsid wsp:val=&quot;2D34043B&quot;/&gt;&lt;wsp:rsid wsp:val=&quot;2D9E56F5&quot;/&gt;&lt;wsp:rsid wsp:val=&quot;2DA73AE1&quot;/&gt;&lt;wsp:rsid wsp:val=&quot;2DE47F8D&quot;/&gt;&lt;wsp:rsid wsp:val=&quot;2E315F65&quot;/&gt;&lt;wsp:rsid wsp:val=&quot;2E5A0250&quot;/&gt;&lt;wsp:rsid wsp:val=&quot;2E5E1EBD&quot;/&gt;&lt;wsp:rsid wsp:val=&quot;2E667F96&quot;/&gt;&lt;wsp:rsid wsp:val=&quot;2E8226AB&quot;/&gt;&lt;wsp:rsid wsp:val=&quot;2EB76E91&quot;/&gt;&lt;wsp:rsid wsp:val=&quot;2F3F7C39&quot;/&gt;&lt;wsp:rsid wsp:val=&quot;2F5051AF&quot;/&gt;&lt;wsp:rsid wsp:val=&quot;2F9B3D18&quot;/&gt;&lt;wsp:rsid wsp:val=&quot;2FD065E6&quot;/&gt;&lt;wsp:rsid wsp:val=&quot;2FD96870&quot;/&gt;&lt;wsp:rsid wsp:val=&quot;2FE778C1&quot;/&gt;&lt;wsp:rsid wsp:val=&quot;30580BC9&quot;/&gt;&lt;wsp:rsid wsp:val=&quot;309537C1&quot;/&gt;&lt;wsp:rsid wsp:val=&quot;30A67A16&quot;/&gt;&lt;wsp:rsid wsp:val=&quot;30DB7244&quot;/&gt;&lt;wsp:rsid wsp:val=&quot;311E2ED7&quot;/&gt;&lt;wsp:rsid wsp:val=&quot;315076E8&quot;/&gt;&lt;wsp:rsid wsp:val=&quot;315619EE&quot;/&gt;&lt;wsp:rsid wsp:val=&quot;315C449C&quot;/&gt;&lt;wsp:rsid wsp:val=&quot;31B82709&quot;/&gt;&lt;wsp:rsid wsp:val=&quot;31C83722&quot;/&gt;&lt;wsp:rsid wsp:val=&quot;31D05482&quot;/&gt;&lt;wsp:rsid wsp:val=&quot;31EB75D7&quot;/&gt;&lt;wsp:rsid wsp:val=&quot;3205474E&quot;/&gt;&lt;wsp:rsid wsp:val=&quot;323B5397&quot;/&gt;&lt;wsp:rsid wsp:val=&quot;32400B34&quot;/&gt;&lt;wsp:rsid wsp:val=&quot;32446DD1&quot;/&gt;&lt;wsp:rsid wsp:val=&quot;324651F3&quot;/&gt;&lt;wsp:rsid wsp:val=&quot;324C089B&quot;/&gt;&lt;wsp:rsid wsp:val=&quot;32513718&quot;/&gt;&lt;wsp:rsid wsp:val=&quot;326E2272&quot;/&gt;&lt;wsp:rsid wsp:val=&quot;329E6876&quot;/&gt;&lt;wsp:rsid wsp:val=&quot;32AB72CC&quot;/&gt;&lt;wsp:rsid wsp:val=&quot;32B34BF9&quot;/&gt;&lt;wsp:rsid wsp:val=&quot;32C51588&quot;/&gt;&lt;wsp:rsid wsp:val=&quot;32EA309B&quot;/&gt;&lt;wsp:rsid wsp:val=&quot;32F10A57&quot;/&gt;&lt;wsp:rsid wsp:val=&quot;333015F2&quot;/&gt;&lt;wsp:rsid wsp:val=&quot;334B6320&quot;/&gt;&lt;wsp:rsid wsp:val=&quot;33613E2E&quot;/&gt;&lt;wsp:rsid wsp:val=&quot;336244FF&quot;/&gt;&lt;wsp:rsid wsp:val=&quot;337444AC&quot;/&gt;&lt;wsp:rsid wsp:val=&quot;338D7053&quot;/&gt;&lt;wsp:rsid wsp:val=&quot;33D934D4&quot;/&gt;&lt;wsp:rsid wsp:val=&quot;33FE2F6A&quot;/&gt;&lt;wsp:rsid wsp:val=&quot;340E07E5&quot;/&gt;&lt;wsp:rsid wsp:val=&quot;34235BF7&quot;/&gt;&lt;wsp:rsid wsp:val=&quot;347569FD&quot;/&gt;&lt;wsp:rsid wsp:val=&quot;34A71D01&quot;/&gt;&lt;wsp:rsid wsp:val=&quot;34F74BD3&quot;/&gt;&lt;wsp:rsid wsp:val=&quot;35287DEF&quot;/&gt;&lt;wsp:rsid wsp:val=&quot;35690D78&quot;/&gt;&lt;wsp:rsid wsp:val=&quot;358C5FA8&quot;/&gt;&lt;wsp:rsid wsp:val=&quot;35963DC9&quot;/&gt;&lt;wsp:rsid wsp:val=&quot;35A16C78&quot;/&gt;&lt;wsp:rsid wsp:val=&quot;35C15DF1&quot;/&gt;&lt;wsp:rsid wsp:val=&quot;35E01715&quot;/&gt;&lt;wsp:rsid wsp:val=&quot;35E055D7&quot;/&gt;&lt;wsp:rsid wsp:val=&quot;36074A7F&quot;/&gt;&lt;wsp:rsid wsp:val=&quot;363E0457&quot;/&gt;&lt;wsp:rsid wsp:val=&quot;3684230E&quot;/&gt;&lt;wsp:rsid wsp:val=&quot;36923549&quot;/&gt;&lt;wsp:rsid wsp:val=&quot;36B75FBF&quot;/&gt;&lt;wsp:rsid wsp:val=&quot;36BD0C45&quot;/&gt;&lt;wsp:rsid wsp:val=&quot;36C14A44&quot;/&gt;&lt;wsp:rsid wsp:val=&quot;36F823B4&quot;/&gt;&lt;wsp:rsid wsp:val=&quot;37315F38&quot;/&gt;&lt;wsp:rsid wsp:val=&quot;37754E09&quot;/&gt;&lt;wsp:rsid wsp:val=&quot;37D20E57&quot;/&gt;&lt;wsp:rsid wsp:val=&quot;37E00298&quot;/&gt;&lt;wsp:rsid wsp:val=&quot;37E578E6&quot;/&gt;&lt;wsp:rsid wsp:val=&quot;37F0691F&quot;/&gt;&lt;wsp:rsid wsp:val=&quot;37F4684E&quot;/&gt;&lt;wsp:rsid wsp:val=&quot;38626B64&quot;/&gt;&lt;wsp:rsid wsp:val=&quot;38B302F9&quot;/&gt;&lt;wsp:rsid wsp:val=&quot;38BB18EB&quot;/&gt;&lt;wsp:rsid wsp:val=&quot;38F12CD3&quot;/&gt;&lt;wsp:rsid wsp:val=&quot;38F94775&quot;/&gt;&lt;wsp:rsid wsp:val=&quot;392971ED&quot;/&gt;&lt;wsp:rsid wsp:val=&quot;39325651&quot;/&gt;&lt;wsp:rsid wsp:val=&quot;393C6ED0&quot;/&gt;&lt;wsp:rsid wsp:val=&quot;39597976&quot;/&gt;&lt;wsp:rsid wsp:val=&quot;395F496C&quot;/&gt;&lt;wsp:rsid wsp:val=&quot;39671A73&quot;/&gt;&lt;wsp:rsid wsp:val=&quot;399C171C&quot;/&gt;&lt;wsp:rsid wsp:val=&quot;39E12752&quot;/&gt;&lt;wsp:rsid wsp:val=&quot;39EB4452&quot;/&gt;&lt;wsp:rsid wsp:val=&quot;39F3541F&quot;/&gt;&lt;wsp:rsid wsp:val=&quot;3A0D261A&quot;/&gt;&lt;wsp:rsid wsp:val=&quot;3A335AE6&quot;/&gt;&lt;wsp:rsid wsp:val=&quot;3A4D7408&quot;/&gt;&lt;wsp:rsid wsp:val=&quot;3A597AE6&quot;/&gt;&lt;wsp:rsid wsp:val=&quot;3A872856&quot;/&gt;&lt;wsp:rsid wsp:val=&quot;3A887EF3&quot;/&gt;&lt;wsp:rsid wsp:val=&quot;3AB80F81&quot;/&gt;&lt;wsp:rsid wsp:val=&quot;3AD36EA3&quot;/&gt;&lt;wsp:rsid wsp:val=&quot;3B3763D1&quot;/&gt;&lt;wsp:rsid wsp:val=&quot;3B3911ED&quot;/&gt;&lt;wsp:rsid wsp:val=&quot;3B471387&quot;/&gt;&lt;wsp:rsid wsp:val=&quot;3BA76A26&quot;/&gt;&lt;wsp:rsid wsp:val=&quot;3C2F6E1E&quot;/&gt;&lt;wsp:rsid wsp:val=&quot;3C3041AA&quot;/&gt;&lt;wsp:rsid wsp:val=&quot;3C351E3D&quot;/&gt;&lt;wsp:rsid wsp:val=&quot;3C4F64BA&quot;/&gt;&lt;wsp:rsid wsp:val=&quot;3CDA245A&quot;/&gt;&lt;wsp:rsid wsp:val=&quot;3D0B0215&quot;/&gt;&lt;wsp:rsid wsp:val=&quot;3D1E06B7&quot;/&gt;&lt;wsp:rsid wsp:val=&quot;3D253A8B&quot;/&gt;&lt;wsp:rsid wsp:val=&quot;3D8B21D4&quot;/&gt;&lt;wsp:rsid wsp:val=&quot;3E341781&quot;/&gt;&lt;wsp:rsid wsp:val=&quot;3E7A587D&quot;/&gt;&lt;wsp:rsid wsp:val=&quot;3EAC0483&quot;/&gt;&lt;wsp:rsid wsp:val=&quot;3EDA0523&quot;/&gt;&lt;wsp:rsid wsp:val=&quot;3F7B12CB&quot;/&gt;&lt;wsp:rsid wsp:val=&quot;3F9335C1&quot;/&gt;&lt;wsp:rsid wsp:val=&quot;3FAE3F57&quot;/&gt;&lt;wsp:rsid wsp:val=&quot;3FC2288A&quot;/&gt;&lt;wsp:rsid wsp:val=&quot;400926DE&quot;/&gt;&lt;wsp:rsid wsp:val=&quot;4032541F&quot;/&gt;&lt;wsp:rsid wsp:val=&quot;40387CC5&quot;/&gt;&lt;wsp:rsid wsp:val=&quot;40520D87&quot;/&gt;&lt;wsp:rsid wsp:val=&quot;4059346A&quot;/&gt;&lt;wsp:rsid wsp:val=&quot;405F179F&quot;/&gt;&lt;wsp:rsid wsp:val=&quot;407A6407&quot;/&gt;&lt;wsp:rsid wsp:val=&quot;40B545A0&quot;/&gt;&lt;wsp:rsid wsp:val=&quot;40FB7670&quot;/&gt;&lt;wsp:rsid wsp:val=&quot;41251421&quot;/&gt;&lt;wsp:rsid wsp:val=&quot;41272213&quot;/&gt;&lt;wsp:rsid wsp:val=&quot;412F3A1A&quot;/&gt;&lt;wsp:rsid wsp:val=&quot;414626ED&quot;/&gt;&lt;wsp:rsid wsp:val=&quot;415D2049&quot;/&gt;&lt;wsp:rsid wsp:val=&quot;41652D3C&quot;/&gt;&lt;wsp:rsid wsp:val=&quot;41C07D0A&quot;/&gt;&lt;wsp:rsid wsp:val=&quot;41FF4F3E&quot;/&gt;&lt;wsp:rsid wsp:val=&quot;4200449D&quot;/&gt;&lt;wsp:rsid wsp:val=&quot;42075BA1&quot;/&gt;&lt;wsp:rsid wsp:val=&quot;423A3BCC&quot;/&gt;&lt;wsp:rsid wsp:val=&quot;424741EF&quot;/&gt;&lt;wsp:rsid wsp:val=&quot;424E57D2&quot;/&gt;&lt;wsp:rsid wsp:val=&quot;42963FE9&quot;/&gt;&lt;wsp:rsid wsp:val=&quot;42B26C49&quot;/&gt;&lt;wsp:rsid wsp:val=&quot;42D669C5&quot;/&gt;&lt;wsp:rsid wsp:val=&quot;42F97747&quot;/&gt;&lt;wsp:rsid wsp:val=&quot;43020B7B&quot;/&gt;&lt;wsp:rsid wsp:val=&quot;43193DDE&quot;/&gt;&lt;wsp:rsid wsp:val=&quot;43301127&quot;/&gt;&lt;wsp:rsid wsp:val=&quot;433A6FE6&quot;/&gt;&lt;wsp:rsid wsp:val=&quot;43480868&quot;/&gt;&lt;wsp:rsid wsp:val=&quot;4350713C&quot;/&gt;&lt;wsp:rsid wsp:val=&quot;436653E0&quot;/&gt;&lt;wsp:rsid wsp:val=&quot;436E0CB2&quot;/&gt;&lt;wsp:rsid wsp:val=&quot;438A3A14&quot;/&gt;&lt;wsp:rsid wsp:val=&quot;43A66856&quot;/&gt;&lt;wsp:rsid wsp:val=&quot;43B958AD&quot;/&gt;&lt;wsp:rsid wsp:val=&quot;43C4431A&quot;/&gt;&lt;wsp:rsid wsp:val=&quot;43F3462F&quot;/&gt;&lt;wsp:rsid wsp:val=&quot;440E10EE&quot;/&gt;&lt;wsp:rsid wsp:val=&quot;441237C5&quot;/&gt;&lt;wsp:rsid wsp:val=&quot;443775B0&quot;/&gt;&lt;wsp:rsid wsp:val=&quot;444E0D07&quot;/&gt;&lt;wsp:rsid wsp:val=&quot;4467501D&quot;/&gt;&lt;wsp:rsid wsp:val=&quot;447A1390&quot;/&gt;&lt;wsp:rsid wsp:val=&quot;44A43B7B&quot;/&gt;&lt;wsp:rsid wsp:val=&quot;44B951CC&quot;/&gt;&lt;wsp:rsid wsp:val=&quot;44C856C4&quot;/&gt;&lt;wsp:rsid wsp:val=&quot;44CD14E0&quot;/&gt;&lt;wsp:rsid wsp:val=&quot;44F05012&quot;/&gt;&lt;wsp:rsid wsp:val=&quot;44F20B0B&quot;/&gt;&lt;wsp:rsid wsp:val=&quot;452E5F4C&quot;/&gt;&lt;wsp:rsid wsp:val=&quot;454728B0&quot;/&gt;&lt;wsp:rsid wsp:val=&quot;45612018&quot;/&gt;&lt;wsp:rsid wsp:val=&quot;45694E44&quot;/&gt;&lt;wsp:rsid wsp:val=&quot;458946E9&quot;/&gt;&lt;wsp:rsid wsp:val=&quot;45A47C0E&quot;/&gt;&lt;wsp:rsid wsp:val=&quot;45ED3300&quot;/&gt;&lt;wsp:rsid wsp:val=&quot;460E1C7B&quot;/&gt;&lt;wsp:rsid wsp:val=&quot;460E6F6B&quot;/&gt;&lt;wsp:rsid wsp:val=&quot;46577FD6&quot;/&gt;&lt;wsp:rsid wsp:val=&quot;46787E89&quot;/&gt;&lt;wsp:rsid wsp:val=&quot;46B61944&quot;/&gt;&lt;wsp:rsid wsp:val=&quot;46C962FC&quot;/&gt;&lt;wsp:rsid wsp:val=&quot;46D955A7&quot;/&gt;&lt;wsp:rsid wsp:val=&quot;47133957&quot;/&gt;&lt;wsp:rsid wsp:val=&quot;47232A99&quot;/&gt;&lt;wsp:rsid wsp:val=&quot;475C073D&quot;/&gt;&lt;wsp:rsid wsp:val=&quot;47A07E0C&quot;/&gt;&lt;wsp:rsid wsp:val=&quot;47A140AA&quot;/&gt;&lt;wsp:rsid wsp:val=&quot;48000043&quot;/&gt;&lt;wsp:rsid wsp:val=&quot;4870272E&quot;/&gt;&lt;wsp:rsid wsp:val=&quot;487B3619&quot;/&gt;&lt;wsp:rsid wsp:val=&quot;489A151D&quot;/&gt;&lt;wsp:rsid wsp:val=&quot;48A835F4&quot;/&gt;&lt;wsp:rsid wsp:val=&quot;48DA542B&quot;/&gt;&lt;wsp:rsid wsp:val=&quot;48E165A4&quot;/&gt;&lt;wsp:rsid wsp:val=&quot;49000F55&quot;/&gt;&lt;wsp:rsid wsp:val=&quot;490502D8&quot;/&gt;&lt;wsp:rsid wsp:val=&quot;49180694&quot;/&gt;&lt;wsp:rsid wsp:val=&quot;493759AC&quot;/&gt;&lt;wsp:rsid wsp:val=&quot;49907B4B&quot;/&gt;&lt;wsp:rsid wsp:val=&quot;49AB1508&quot;/&gt;&lt;wsp:rsid wsp:val=&quot;49B25CF7&quot;/&gt;&lt;wsp:rsid wsp:val=&quot;49CE5ED2&quot;/&gt;&lt;wsp:rsid wsp:val=&quot;49DC7715&quot;/&gt;&lt;wsp:rsid wsp:val=&quot;49FC181A&quot;/&gt;&lt;wsp:rsid wsp:val=&quot;4A023139&quot;/&gt;&lt;wsp:rsid wsp:val=&quot;4A070E34&quot;/&gt;&lt;wsp:rsid wsp:val=&quot;4A310715&quot;/&gt;&lt;wsp:rsid wsp:val=&quot;4A4B2573&quot;/&gt;&lt;wsp:rsid wsp:val=&quot;4A4D21FE&quot;/&gt;&lt;wsp:rsid wsp:val=&quot;4A7B576F&quot;/&gt;&lt;wsp:rsid wsp:val=&quot;4A80685B&quot;/&gt;&lt;wsp:rsid wsp:val=&quot;4AA443BF&quot;/&gt;&lt;wsp:rsid wsp:val=&quot;4AB9714B&quot;/&gt;&lt;wsp:rsid wsp:val=&quot;4ACE1952&quot;/&gt;&lt;wsp:rsid wsp:val=&quot;4ADF3B5F&quot;/&gt;&lt;wsp:rsid wsp:val=&quot;4AEB2504&quot;/&gt;&lt;wsp:rsid wsp:val=&quot;4AF561A9&quot;/&gt;&lt;wsp:rsid wsp:val=&quot;4B5C6F5D&quot;/&gt;&lt;wsp:rsid wsp:val=&quot;4B60778F&quot;/&gt;&lt;wsp:rsid wsp:val=&quot;4B9366F7&quot;/&gt;&lt;wsp:rsid wsp:val=&quot;4BA8076C&quot;/&gt;&lt;wsp:rsid wsp:val=&quot;4BB14C65&quot;/&gt;&lt;wsp:rsid wsp:val=&quot;4BE97561&quot;/&gt;&lt;wsp:rsid wsp:val=&quot;4C1149EA&quot;/&gt;&lt;wsp:rsid wsp:val=&quot;4C435330&quot;/&gt;&lt;wsp:rsid wsp:val=&quot;4C4A0649&quot;/&gt;&lt;wsp:rsid wsp:val=&quot;4C7E5ECA&quot;/&gt;&lt;wsp:rsid wsp:val=&quot;4C876AA5&quot;/&gt;&lt;wsp:rsid wsp:val=&quot;4CA50490&quot;/&gt;&lt;wsp:rsid wsp:val=&quot;4CC54FDD&quot;/&gt;&lt;wsp:rsid wsp:val=&quot;4CE57767&quot;/&gt;&lt;wsp:rsid wsp:val=&quot;4D0E00FB&quot;/&gt;&lt;wsp:rsid wsp:val=&quot;4D0E6C05&quot;/&gt;&lt;wsp:rsid wsp:val=&quot;4D176606&quot;/&gt;&lt;wsp:rsid wsp:val=&quot;4D524790&quot;/&gt;&lt;wsp:rsid wsp:val=&quot;4D8D225A&quot;/&gt;&lt;wsp:rsid wsp:val=&quot;4DA40CE1&quot;/&gt;&lt;wsp:rsid wsp:val=&quot;4DEC4FB0&quot;/&gt;&lt;wsp:rsid wsp:val=&quot;4E075D8A&quot;/&gt;&lt;wsp:rsid wsp:val=&quot;4E2D48DA&quot;/&gt;&lt;wsp:rsid wsp:val=&quot;4E37390F&quot;/&gt;&lt;wsp:rsid wsp:val=&quot;4E6D3230&quot;/&gt;&lt;wsp:rsid wsp:val=&quot;4E8116E8&quot;/&gt;&lt;wsp:rsid wsp:val=&quot;4EA76741&quot;/&gt;&lt;wsp:rsid wsp:val=&quot;4EC00FAD&quot;/&gt;&lt;wsp:rsid wsp:val=&quot;4EF209CA&quot;/&gt;&lt;wsp:rsid wsp:val=&quot;4F4B53EA&quot;/&gt;&lt;wsp:rsid wsp:val=&quot;4F4E012F&quot;/&gt;&lt;wsp:rsid wsp:val=&quot;4F692941&quot;/&gt;&lt;wsp:rsid wsp:val=&quot;4F9547EC&quot;/&gt;&lt;wsp:rsid wsp:val=&quot;4F9843DC&quot;/&gt;&lt;wsp:rsid wsp:val=&quot;4FA15887&quot;/&gt;&lt;wsp:rsid wsp:val=&quot;4FC62A8C&quot;/&gt;&lt;wsp:rsid wsp:val=&quot;4FE20F0D&quot;/&gt;&lt;wsp:rsid wsp:val=&quot;4FE51552&quot;/&gt;&lt;wsp:rsid wsp:val=&quot;501222E0&quot;/&gt;&lt;wsp:rsid wsp:val=&quot;50504C4B&quot;/&gt;&lt;wsp:rsid wsp:val=&quot;506A70D2&quot;/&gt;&lt;wsp:rsid wsp:val=&quot;509C6E7C&quot;/&gt;&lt;wsp:rsid wsp:val=&quot;50A8054F&quot;/&gt;&lt;wsp:rsid wsp:val=&quot;50AE2F19&quot;/&gt;&lt;wsp:rsid wsp:val=&quot;50BA42F9&quot;/&gt;&lt;wsp:rsid wsp:val=&quot;50FE4613&quot;/&gt;&lt;wsp:rsid wsp:val=&quot;5162104E&quot;/&gt;&lt;wsp:rsid wsp:val=&quot;516C3C72&quot;/&gt;&lt;wsp:rsid wsp:val=&quot;52180D44&quot;/&gt;&lt;wsp:rsid wsp:val=&quot;521F2A93&quot;/&gt;&lt;wsp:rsid wsp:val=&quot;52282717&quot;/&gt;&lt;wsp:rsid wsp:val=&quot;526606C2&quot;/&gt;&lt;wsp:rsid wsp:val=&quot;52860D64&quot;/&gt;&lt;wsp:rsid wsp:val=&quot;52AA6800&quot;/&gt;&lt;wsp:rsid wsp:val=&quot;52C673C7&quot;/&gt;&lt;wsp:rsid wsp:val=&quot;52EA277D&quot;/&gt;&lt;wsp:rsid wsp:val=&quot;52F24577&quot;/&gt;&lt;wsp:rsid wsp:val=&quot;53163E96&quot;/&gt;&lt;wsp:rsid wsp:val=&quot;531A1F43&quot;/&gt;&lt;wsp:rsid wsp:val=&quot;53230361&quot;/&gt;&lt;wsp:rsid wsp:val=&quot;53A039CC&quot;/&gt;&lt;wsp:rsid wsp:val=&quot;53A1505A&quot;/&gt;&lt;wsp:rsid wsp:val=&quot;53BF62DB&quot;/&gt;&lt;wsp:rsid wsp:val=&quot;53FC752F&quot;/&gt;&lt;wsp:rsid wsp:val=&quot;54063E08&quot;/&gt;&lt;wsp:rsid wsp:val=&quot;54085ED4&quot;/&gt;&lt;wsp:rsid wsp:val=&quot;54162CDC&quot;/&gt;&lt;wsp:rsid wsp:val=&quot;543437E8&quot;/&gt;&lt;wsp:rsid wsp:val=&quot;544B3BE4&quot;/&gt;&lt;wsp:rsid wsp:val=&quot;54B12736&quot;/&gt;&lt;wsp:rsid wsp:val=&quot;54B80C69&quot;/&gt;&lt;wsp:rsid wsp:val=&quot;54F73313&quot;/&gt;&lt;wsp:rsid wsp:val=&quot;54F80955&quot;/&gt;&lt;wsp:rsid wsp:val=&quot;55085A60&quot;/&gt;&lt;wsp:rsid wsp:val=&quot;551B751F&quot;/&gt;&lt;wsp:rsid wsp:val=&quot;555170A7&quot;/&gt;&lt;wsp:rsid wsp:val=&quot;555C613E&quot;/&gt;&lt;wsp:rsid wsp:val=&quot;556233C2&quot;/&gt;&lt;wsp:rsid wsp:val=&quot;5587536D&quot;/&gt;&lt;wsp:rsid wsp:val=&quot;55943798&quot;/&gt;&lt;wsp:rsid wsp:val=&quot;559B174B&quot;/&gt;&lt;wsp:rsid wsp:val=&quot;55CE0CF4&quot;/&gt;&lt;wsp:rsid wsp:val=&quot;55DF0EB7&quot;/&gt;&lt;wsp:rsid wsp:val=&quot;56044125&quot;/&gt;&lt;wsp:rsid wsp:val=&quot;560C1580&quot;/&gt;&lt;wsp:rsid wsp:val=&quot;561F3F64&quot;/&gt;&lt;wsp:rsid wsp:val=&quot;56592E41&quot;/&gt;&lt;wsp:rsid wsp:val=&quot;568D0913&quot;/&gt;&lt;wsp:rsid wsp:val=&quot;5697709C&quot;/&gt;&lt;wsp:rsid wsp:val=&quot;56B22A9C&quot;/&gt;&lt;wsp:rsid wsp:val=&quot;56BC6214&quot;/&gt;&lt;wsp:rsid wsp:val=&quot;56D946B8&quot;/&gt;&lt;wsp:rsid wsp:val=&quot;56DC0F52&quot;/&gt;&lt;wsp:rsid wsp:val=&quot;572F5526&quot;/&gt;&lt;wsp:rsid wsp:val=&quot;57814C12&quot;/&gt;&lt;wsp:rsid wsp:val=&quot;57A55E1F&quot;/&gt;&lt;wsp:rsid wsp:val=&quot;57AF17D7&quot;/&gt;&lt;wsp:rsid wsp:val=&quot;57B72A76&quot;/&gt;&lt;wsp:rsid wsp:val=&quot;57B91294&quot;/&gt;&lt;wsp:rsid wsp:val=&quot;57C3426C&quot;/&gt;&lt;wsp:rsid wsp:val=&quot;57CE1F93&quot;/&gt;&lt;wsp:rsid wsp:val=&quot;58281544&quot;/&gt;&lt;wsp:rsid wsp:val=&quot;585651F5&quot;/&gt;&lt;wsp:rsid wsp:val=&quot;585A2598&quot;/&gt;&lt;wsp:rsid wsp:val=&quot;58847722&quot;/&gt;&lt;wsp:rsid wsp:val=&quot;588743D1&quot;/&gt;&lt;wsp:rsid wsp:val=&quot;5887701A&quot;/&gt;&lt;wsp:rsid wsp:val=&quot;58D501F4&quot;/&gt;&lt;wsp:rsid wsp:val=&quot;58FC58DC&quot;/&gt;&lt;wsp:rsid wsp:val=&quot;590E560F&quot;/&gt;&lt;wsp:rsid wsp:val=&quot;597F3AB1&quot;/&gt;&lt;wsp:rsid wsp:val=&quot;59C0439F&quot;/&gt;&lt;wsp:rsid wsp:val=&quot;59E746E3&quot;/&gt;&lt;wsp:rsid wsp:val=&quot;5A033B31&quot;/&gt;&lt;wsp:rsid wsp:val=&quot;5A786DB8&quot;/&gt;&lt;wsp:rsid wsp:val=&quot;5A991B1D&quot;/&gt;&lt;wsp:rsid wsp:val=&quot;5ABE2233&quot;/&gt;&lt;wsp:rsid wsp:val=&quot;5ADD2BA5&quot;/&gt;&lt;wsp:rsid wsp:val=&quot;5AEE043F&quot;/&gt;&lt;wsp:rsid wsp:val=&quot;5BBB255D&quot;/&gt;&lt;wsp:rsid wsp:val=&quot;5BD7600D&quot;/&gt;&lt;wsp:rsid wsp:val=&quot;5BDF5D95&quot;/&gt;&lt;wsp:rsid wsp:val=&quot;5BFE7528&quot;/&gt;&lt;wsp:rsid wsp:val=&quot;5C050F4B&quot;/&gt;&lt;wsp:rsid wsp:val=&quot;5C107BEF&quot;/&gt;&lt;wsp:rsid wsp:val=&quot;5C2238AB&quot;/&gt;&lt;wsp:rsid wsp:val=&quot;5C5D6BC1&quot;/&gt;&lt;wsp:rsid wsp:val=&quot;5C5F4D82&quot;/&gt;&lt;wsp:rsid wsp:val=&quot;5C873A6F&quot;/&gt;&lt;wsp:rsid wsp:val=&quot;5C8C341B&quot;/&gt;&lt;wsp:rsid wsp:val=&quot;5CFA2FF4&quot;/&gt;&lt;wsp:rsid wsp:val=&quot;5D380B12&quot;/&gt;&lt;wsp:rsid wsp:val=&quot;5D59154F&quot;/&gt;&lt;wsp:rsid wsp:val=&quot;5DCA6BBC&quot;/&gt;&lt;wsp:rsid wsp:val=&quot;5E192A8C&quot;/&gt;&lt;wsp:rsid wsp:val=&quot;5E2205CA&quot;/&gt;&lt;wsp:rsid wsp:val=&quot;5E2467F1&quot;/&gt;&lt;wsp:rsid wsp:val=&quot;5E7D2010&quot;/&gt;&lt;wsp:rsid wsp:val=&quot;5E9E498A&quot;/&gt;&lt;wsp:rsid wsp:val=&quot;5EB41DF4&quot;/&gt;&lt;wsp:rsid wsp:val=&quot;5EC8587D&quot;/&gt;&lt;wsp:rsid wsp:val=&quot;5F1A2B43&quot;/&gt;&lt;wsp:rsid wsp:val=&quot;5F860FF2&quot;/&gt;&lt;wsp:rsid wsp:val=&quot;5FB837BB&quot;/&gt;&lt;wsp:rsid wsp:val=&quot;60251740&quot;/&gt;&lt;wsp:rsid wsp:val=&quot;6037369D&quot;/&gt;&lt;wsp:rsid wsp:val=&quot;605D1356&quot;/&gt;&lt;wsp:rsid wsp:val=&quot;60CC405A&quot;/&gt;&lt;wsp:rsid wsp:val=&quot;60EF5D26&quot;/&gt;&lt;wsp:rsid wsp:val=&quot;61013BB8&quot;/&gt;&lt;wsp:rsid wsp:val=&quot;613A1697&quot;/&gt;&lt;wsp:rsid wsp:val=&quot;61624992&quot;/&gt;&lt;wsp:rsid wsp:val=&quot;61BE18D7&quot;/&gt;&lt;wsp:rsid wsp:val=&quot;61E215D8&quot;/&gt;&lt;wsp:rsid wsp:val=&quot;61F83585&quot;/&gt;&lt;wsp:rsid wsp:val=&quot;620B4DE2&quot;/&gt;&lt;wsp:rsid wsp:val=&quot;621B3775&quot;/&gt;&lt;wsp:rsid wsp:val=&quot;62364782&quot;/&gt;&lt;wsp:rsid wsp:val=&quot;625C743B&quot;/&gt;&lt;wsp:rsid wsp:val=&quot;626764BC&quot;/&gt;&lt;wsp:rsid wsp:val=&quot;627B5AC3&quot;/&gt;&lt;wsp:rsid wsp:val=&quot;62960B4F&quot;/&gt;&lt;wsp:rsid wsp:val=&quot;62B53A47&quot;/&gt;&lt;wsp:rsid wsp:val=&quot;62B814EF&quot;/&gt;&lt;wsp:rsid wsp:val=&quot;62FB47D4&quot;/&gt;&lt;wsp:rsid wsp:val=&quot;632E1C1D&quot;/&gt;&lt;wsp:rsid wsp:val=&quot;633C21FE&quot;/&gt;&lt;wsp:rsid wsp:val=&quot;637737BC&quot;/&gt;&lt;wsp:rsid wsp:val=&quot;6394356A&quot;/&gt;&lt;wsp:rsid wsp:val=&quot;639A594E&quot;/&gt;&lt;wsp:rsid wsp:val=&quot;63C61B2C&quot;/&gt;&lt;wsp:rsid wsp:val=&quot;63D40BE9&quot;/&gt;&lt;wsp:rsid wsp:val=&quot;64061D57&quot;/&gt;&lt;wsp:rsid wsp:val=&quot;64102431&quot;/&gt;&lt;wsp:rsid wsp:val=&quot;641E61FF&quot;/&gt;&lt;wsp:rsid wsp:val=&quot;64753107&quot;/&gt;&lt;wsp:rsid wsp:val=&quot;64A5243A&quot;/&gt;&lt;wsp:rsid wsp:val=&quot;64BB489D&quot;/&gt;&lt;wsp:rsid wsp:val=&quot;64C47814&quot;/&gt;&lt;wsp:rsid wsp:val=&quot;64CC2606&quot;/&gt;&lt;wsp:rsid wsp:val=&quot;64D823B5&quot;/&gt;&lt;wsp:rsid wsp:val=&quot;64F14DEE&quot;/&gt;&lt;wsp:rsid wsp:val=&quot;64F25C4B&quot;/&gt;&lt;wsp:rsid wsp:val=&quot;64F531DE&quot;/&gt;&lt;wsp:rsid wsp:val=&quot;64F733FB&quot;/&gt;&lt;wsp:rsid wsp:val=&quot;65373578&quot;/&gt;&lt;wsp:rsid wsp:val=&quot;65855B7B&quot;/&gt;&lt;wsp:rsid wsp:val=&quot;65D976D1&quot;/&gt;&lt;wsp:rsid wsp:val=&quot;663A1335&quot;/&gt;&lt;wsp:rsid wsp:val=&quot;665B766F&quot;/&gt;&lt;wsp:rsid wsp:val=&quot;665C5C0C&quot;/&gt;&lt;wsp:rsid wsp:val=&quot;667271DD&quot;/&gt;&lt;wsp:rsid wsp:val=&quot;66BA5445&quot;/&gt;&lt;wsp:rsid wsp:val=&quot;671D183F&quot;/&gt;&lt;wsp:rsid wsp:val=&quot;671F124A&quot;/&gt;&lt;wsp:rsid wsp:val=&quot;677A33C6&quot;/&gt;&lt;wsp:rsid wsp:val=&quot;678459F0&quot;/&gt;&lt;wsp:rsid wsp:val=&quot;67856E44&quot;/&gt;&lt;wsp:rsid wsp:val=&quot;67BA2D3C&quot;/&gt;&lt;wsp:rsid wsp:val=&quot;67F737B2&quot;/&gt;&lt;wsp:rsid wsp:val=&quot;68055D20&quot;/&gt;&lt;wsp:rsid wsp:val=&quot;681F6961&quot;/&gt;&lt;wsp:rsid wsp:val=&quot;682269E1&quot;/&gt;&lt;wsp:rsid wsp:val=&quot;68326CE6&quot;/&gt;&lt;wsp:rsid wsp:val=&quot;68610A2F&quot;/&gt;&lt;wsp:rsid wsp:val=&quot;68805514&quot;/&gt;&lt;wsp:rsid wsp:val=&quot;688F638F&quot;/&gt;&lt;wsp:rsid wsp:val=&quot;68FE2FAA&quot;/&gt;&lt;wsp:rsid wsp:val=&quot;6923369E&quot;/&gt;&lt;wsp:rsid wsp:val=&quot;69316E2F&quot;/&gt;&lt;wsp:rsid wsp:val=&quot;694E2071&quot;/&gt;&lt;wsp:rsid wsp:val=&quot;695C1C65&quot;/&gt;&lt;wsp:rsid wsp:val=&quot;69766163&quot;/&gt;&lt;wsp:rsid wsp:val=&quot;697A3B33&quot;/&gt;&lt;wsp:rsid wsp:val=&quot;69D44760&quot;/&gt;&lt;wsp:rsid wsp:val=&quot;6A2A5C37&quot;/&gt;&lt;wsp:rsid wsp:val=&quot;6A4E184A&quot;/&gt;&lt;wsp:rsid wsp:val=&quot;6A520EC7&quot;/&gt;&lt;wsp:rsid wsp:val=&quot;6A687B43&quot;/&gt;&lt;wsp:rsid wsp:val=&quot;6AB77E8E&quot;/&gt;&lt;wsp:rsid wsp:val=&quot;6AF87E20&quot;/&gt;&lt;wsp:rsid wsp:val=&quot;6B0B7C00&quot;/&gt;&lt;wsp:rsid wsp:val=&quot;6B140BF9&quot;/&gt;&lt;wsp:rsid wsp:val=&quot;6B322639&quot;/&gt;&lt;wsp:rsid wsp:val=&quot;6B5D3C1D&quot;/&gt;&lt;wsp:rsid wsp:val=&quot;6B5E0140&quot;/&gt;&lt;wsp:rsid wsp:val=&quot;6BC67A8C&quot;/&gt;&lt;wsp:rsid wsp:val=&quot;6C1D0C7C&quot;/&gt;&lt;wsp:rsid wsp:val=&quot;6C596833&quot;/&gt;&lt;wsp:rsid wsp:val=&quot;6C636C38&quot;/&gt;&lt;wsp:rsid wsp:val=&quot;6C881636&quot;/&gt;&lt;wsp:rsid wsp:val=&quot;6C962A35&quot;/&gt;&lt;wsp:rsid wsp:val=&quot;6C9854C4&quot;/&gt;&lt;wsp:rsid wsp:val=&quot;6CB00A5F&quot;/&gt;&lt;wsp:rsid wsp:val=&quot;6CB0179F&quot;/&gt;&lt;wsp:rsid wsp:val=&quot;6CB2337E&quot;/&gt;&lt;wsp:rsid wsp:val=&quot;6CB303CD&quot;/&gt;&lt;wsp:rsid wsp:val=&quot;6CC83FFB&quot;/&gt;&lt;wsp:rsid wsp:val=&quot;6D601880&quot;/&gt;&lt;wsp:rsid wsp:val=&quot;6D935DD7&quot;/&gt;&lt;wsp:rsid wsp:val=&quot;6D9B526C&quot;/&gt;&lt;wsp:rsid wsp:val=&quot;6DB34098&quot;/&gt;&lt;wsp:rsid wsp:val=&quot;6DB545B6&quot;/&gt;&lt;wsp:rsid wsp:val=&quot;6DE02FB4&quot;/&gt;&lt;wsp:rsid wsp:val=&quot;6DFB3020&quot;/&gt;&lt;wsp:rsid wsp:val=&quot;6E1D50AE&quot;/&gt;&lt;wsp:rsid wsp:val=&quot;6E514CED&quot;/&gt;&lt;wsp:rsid wsp:val=&quot;6EAD4575&quot;/&gt;&lt;wsp:rsid wsp:val=&quot;6EB563D5&quot;/&gt;&lt;wsp:rsid wsp:val=&quot;6ED92677&quot;/&gt;&lt;wsp:rsid wsp:val=&quot;6EDD2500&quot;/&gt;&lt;wsp:rsid wsp:val=&quot;6F025158&quot;/&gt;&lt;wsp:rsid wsp:val=&quot;6F215C44&quot;/&gt;&lt;wsp:rsid wsp:val=&quot;6F225983&quot;/&gt;&lt;wsp:rsid wsp:val=&quot;6F54601A&quot;/&gt;&lt;wsp:rsid wsp:val=&quot;6F697C94&quot;/&gt;&lt;wsp:rsid wsp:val=&quot;6FD33957&quot;/&gt;&lt;wsp:rsid wsp:val=&quot;6FFC5590&quot;/&gt;&lt;wsp:rsid wsp:val=&quot;70277D14&quot;/&gt;&lt;wsp:rsid wsp:val=&quot;70545BA6&quot;/&gt;&lt;wsp:rsid wsp:val=&quot;705D5A3F&quot;/&gt;&lt;wsp:rsid wsp:val=&quot;706D1DD0&quot;/&gt;&lt;wsp:rsid wsp:val=&quot;70856B87&quot;/&gt;&lt;wsp:rsid wsp:val=&quot;70A22DB5&quot;/&gt;&lt;wsp:rsid wsp:val=&quot;70B83BA6&quot;/&gt;&lt;wsp:rsid wsp:val=&quot;70D527EE&quot;/&gt;&lt;wsp:rsid wsp:val=&quot;71333633&quot;/&gt;&lt;wsp:rsid wsp:val=&quot;71350741&quot;/&gt;&lt;wsp:rsid wsp:val=&quot;715B5300&quot;/&gt;&lt;wsp:rsid wsp:val=&quot;71B71935&quot;/&gt;&lt;wsp:rsid wsp:val=&quot;71D27F8A&quot;/&gt;&lt;wsp:rsid wsp:val=&quot;723A2822&quot;/&gt;&lt;wsp:rsid wsp:val=&quot;72553024&quot;/&gt;&lt;wsp:rsid wsp:val=&quot;726A6EF9&quot;/&gt;&lt;wsp:rsid wsp:val=&quot;72826C46&quot;/&gt;&lt;wsp:rsid wsp:val=&quot;72B56DCF&quot;/&gt;&lt;wsp:rsid wsp:val=&quot;72C01A12&quot;/&gt;&lt;wsp:rsid wsp:val=&quot;72E36719&quot;/&gt;&lt;wsp:rsid wsp:val=&quot;72F13B80&quot;/&gt;&lt;wsp:rsid wsp:val=&quot;72F47912&quot;/&gt;&lt;wsp:rsid wsp:val=&quot;73122968&quot;/&gt;&lt;wsp:rsid wsp:val=&quot;731727D5&quot;/&gt;&lt;wsp:rsid wsp:val=&quot;731F5D5E&quot;/&gt;&lt;wsp:rsid wsp:val=&quot;732619CF&quot;/&gt;&lt;wsp:rsid wsp:val=&quot;733817AF&quot;/&gt;&lt;wsp:rsid wsp:val=&quot;738C18CB&quot;/&gt;&lt;wsp:rsid wsp:val=&quot;73C51AD5&quot;/&gt;&lt;wsp:rsid wsp:val=&quot;73D67E93&quot;/&gt;&lt;wsp:rsid wsp:val=&quot;73E052BC&quot;/&gt;&lt;wsp:rsid wsp:val=&quot;73EA2620&quot;/&gt;&lt;wsp:rsid wsp:val=&quot;73ED2806&quot;/&gt;&lt;wsp:rsid wsp:val=&quot;73F737C4&quot;/&gt;&lt;wsp:rsid wsp:val=&quot;741E793C&quot;/&gt;&lt;wsp:rsid wsp:val=&quot;74251D33&quot;/&gt;&lt;wsp:rsid wsp:val=&quot;74355F62&quot;/&gt;&lt;wsp:rsid wsp:val=&quot;745E3944&quot;/&gt;&lt;wsp:rsid wsp:val=&quot;7479712F&quot;/&gt;&lt;wsp:rsid wsp:val=&quot;748051BB&quot;/&gt;&lt;wsp:rsid wsp:val=&quot;74874906&quot;/&gt;&lt;wsp:rsid wsp:val=&quot;74E244D5&quot;/&gt;&lt;wsp:rsid wsp:val=&quot;757840E4&quot;/&gt;&lt;wsp:rsid wsp:val=&quot;758B0493&quot;/&gt;&lt;wsp:rsid wsp:val=&quot;75AA4D7D&quot;/&gt;&lt;wsp:rsid wsp:val=&quot;75F82D68&quot;/&gt;&lt;wsp:rsid wsp:val=&quot;75FF5884&quot;/&gt;&lt;wsp:rsid wsp:val=&quot;76313E23&quot;/&gt;&lt;wsp:rsid wsp:val=&quot;7635099D&quot;/&gt;&lt;wsp:rsid wsp:val=&quot;763E2BEB&quot;/&gt;&lt;wsp:rsid wsp:val=&quot;764741E2&quot;/&gt;&lt;wsp:rsid wsp:val=&quot;76736D71&quot;/&gt;&lt;wsp:rsid wsp:val=&quot;76960176&quot;/&gt;&lt;wsp:rsid wsp:val=&quot;769B62DC&quot;/&gt;&lt;wsp:rsid wsp:val=&quot;76BB6F2A&quot;/&gt;&lt;wsp:rsid wsp:val=&quot;76C05D43&quot;/&gt;&lt;wsp:rsid wsp:val=&quot;76C34592&quot;/&gt;&lt;wsp:rsid wsp:val=&quot;76C678AE&quot;/&gt;&lt;wsp:rsid wsp:val=&quot;76DD68F5&quot;/&gt;&lt;wsp:rsid wsp:val=&quot;77762421&quot;/&gt;&lt;wsp:rsid wsp:val=&quot;77B56B1F&quot;/&gt;&lt;wsp:rsid wsp:val=&quot;780F09F4&quot;/&gt;&lt;wsp:rsid wsp:val=&quot;782A4F3F&quot;/&gt;&lt;wsp:rsid wsp:val=&quot;782B5247&quot;/&gt;&lt;wsp:rsid wsp:val=&quot;782D6F7B&quot;/&gt;&lt;wsp:rsid wsp:val=&quot;78374F2B&quot;/&gt;&lt;wsp:rsid wsp:val=&quot;78574485&quot;/&gt;&lt;wsp:rsid wsp:val=&quot;78704450&quot;/&gt;&lt;wsp:rsid wsp:val=&quot;7879264D&quot;/&gt;&lt;wsp:rsid wsp:val=&quot;7892370F&quot;/&gt;&lt;wsp:rsid wsp:val=&quot;78A90480&quot;/&gt;&lt;wsp:rsid wsp:val=&quot;78DB3308&quot;/&gt;&lt;wsp:rsid wsp:val=&quot;790E4F15&quot;/&gt;&lt;wsp:rsid wsp:val=&quot;7974613D&quot;/&gt;&lt;wsp:rsid wsp:val=&quot;7A102EAC&quot;/&gt;&lt;wsp:rsid wsp:val=&quot;7A181268&quot;/&gt;&lt;wsp:rsid wsp:val=&quot;7A364017&quot;/&gt;&lt;wsp:rsid wsp:val=&quot;7A8265E1&quot;/&gt;&lt;wsp:rsid wsp:val=&quot;7AA91E53&quot;/&gt;&lt;wsp:rsid wsp:val=&quot;7B641393&quot;/&gt;&lt;wsp:rsid wsp:val=&quot;7B686D42&quot;/&gt;&lt;wsp:rsid wsp:val=&quot;7B841746&quot;/&gt;&lt;wsp:rsid wsp:val=&quot;7B933A26&quot;/&gt;&lt;wsp:rsid wsp:val=&quot;7BCC6F38&quot;/&gt;&lt;wsp:rsid wsp:val=&quot;7BD1454E&quot;/&gt;&lt;wsp:rsid wsp:val=&quot;7BD8392F&quot;/&gt;&lt;wsp:rsid wsp:val=&quot;7C0A35A6&quot;/&gt;&lt;wsp:rsid wsp:val=&quot;7C3C40BE&quot;/&gt;&lt;wsp:rsid wsp:val=&quot;7C424FBE&quot;/&gt;&lt;wsp:rsid wsp:val=&quot;7C4E408C&quot;/&gt;&lt;wsp:rsid wsp:val=&quot;7C5C7B16&quot;/&gt;&lt;wsp:rsid wsp:val=&quot;7C6C5AC7&quot;/&gt;&lt;wsp:rsid wsp:val=&quot;7CA42E56&quot;/&gt;&lt;wsp:rsid wsp:val=&quot;7CBC51FE&quot;/&gt;&lt;wsp:rsid wsp:val=&quot;7CC6544B&quot;/&gt;&lt;wsp:rsid wsp:val=&quot;7CC6608C&quot;/&gt;&lt;wsp:rsid wsp:val=&quot;7CD24A22&quot;/&gt;&lt;wsp:rsid wsp:val=&quot;7CFD2DEF&quot;/&gt;&lt;wsp:rsid wsp:val=&quot;7D0239FF&quot;/&gt;&lt;wsp:rsid wsp:val=&quot;7D0D15B6&quot;/&gt;&lt;wsp:rsid wsp:val=&quot;7D1B1F25&quot;/&gt;&lt;wsp:rsid wsp:val=&quot;7D2C1DAB&quot;/&gt;&lt;wsp:rsid wsp:val=&quot;7D307E9D&quot;/&gt;&lt;wsp:rsid wsp:val=&quot;7D515947&quot;/&gt;&lt;wsp:rsid wsp:val=&quot;7D572F04&quot;/&gt;&lt;wsp:rsid wsp:val=&quot;7D5E40CD&quot;/&gt;&lt;wsp:rsid wsp:val=&quot;7DCD56F2&quot;/&gt;&lt;wsp:rsid wsp:val=&quot;7DDB71B7&quot;/&gt;&lt;wsp:rsid wsp:val=&quot;7DF21E4B&quot;/&gt;&lt;wsp:rsid wsp:val=&quot;7E4A1AC2&quot;/&gt;&lt;wsp:rsid wsp:val=&quot;7E5E59BF&quot;/&gt;&lt;wsp:rsid wsp:val=&quot;7E68119A&quot;/&gt;&lt;wsp:rsid wsp:val=&quot;7E9637B2&quot;/&gt;&lt;wsp:rsid wsp:val=&quot;7EB376D4&quot;/&gt;&lt;wsp:rsid wsp:val=&quot;7F001CE7&quot;/&gt;&lt;wsp:rsid wsp:val=&quot;7F1255AA&quot;/&gt;&lt;wsp:rsid wsp:val=&quot;7F1E5CFC&quot;/&gt;&lt;wsp:rsid wsp:val=&quot;7F8900D5&quot;/&gt;&lt;wsp:rsid wsp:val=&quot;7FA16F1B&quot;/&gt;&lt;wsp:rsid wsp:val=&quot;7FE47E50&quot;/&gt;&lt;wsp:rsid wsp:val=&quot;7FF50432&quot;/&gt;&lt;/wsp:rsids&gt;&lt;/w:docPr&gt;&lt;w:body&gt;&lt;w:p wsp:rsidR=&quot;00000000&quot; wsp:rsidRDefault=&quot;008678B8&quot;&gt;&lt;m:oMathPara&gt;&lt;m:oMath&gt;&lt;m:f&gt;&lt;m:fPr&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x:font wx:val=&quot;Cambria Math&quot;/&gt;&lt;w:sz w:val=&quot;28&quot;/&gt;&lt;w:sz-cs w:val=&quot;28&quot;/&gt;&lt;/w:rPr&gt;&lt;m:t&gt;A&lt;/m:t&gt;&lt;/m:r&gt;&lt;/m:e&gt;&lt;m:sub&gt;&lt;m:r&gt;&lt;m:rPr&gt;&lt;m:sty m:val=&quot;p&quot;/&gt;&lt;/m:rPr&gt;&lt;w:rPr&gt;&lt;w:rFonts w:ascii=&quot;Cambria Math&quot;/&gt;&lt;wx:font wx:val=&quot;Cambria Math&quot;/&gt;&lt;w:sz w:val=&quot;28&quot;/&gt;&lt;w:sz-cs w:val=&quot;28&quot;/&gt;&lt;/w:rPr&gt;&lt;m:t&gt;ar&lt;/m:t&gt;&lt;/m:r&gt;&lt;/m:sub&gt;&lt;/m:sSub&gt;&lt;/m:num&gt;&lt;m:den&gt;&lt;m:r&gt;&lt;m:rPr&gt;&lt;m:sty m:val=&quot;p&quot;/&gt;&lt;/m:rPr&gt;&lt;w:rPr&gt;&lt;w:rFonts w:ascii=&quot;Cambria Math&quot;/&gt;&lt;wx:font wx:val=&quot;Cambria Math&quot;/&gt;&lt;w:sz w:val=&quot;28&quot;/&gt;&lt;w:sz-cs w:val=&quot;28&quot;/&gt;&lt;/w:rPr&gt;&lt;m:t&gt;100&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29" chromakey="#FFFFFF" o:title=""/>
                  <o:lock v:ext="edit" aspectratio="t"/>
                  <w10:wrap type="none"/>
                  <w10:anchorlock/>
                </v:shape>
              </w:pict>
            </w:r>
            <w:r>
              <w:rPr>
                <w:color w:val="auto"/>
                <w:sz w:val="28"/>
                <w:szCs w:val="28"/>
              </w:rPr>
              <w:instrText xml:space="preserve"> </w:instrText>
            </w:r>
            <w:r>
              <w:rPr>
                <w:color w:val="auto"/>
                <w:sz w:val="28"/>
                <w:szCs w:val="28"/>
              </w:rPr>
              <w:fldChar w:fldCharType="separate"/>
            </w:r>
            <w:r>
              <w:rPr>
                <w:color w:val="auto"/>
                <w:position w:val="-15"/>
              </w:rPr>
              <w:pict>
                <v:shape id="_x0000_i1026" o:spt="75" type="#_x0000_t75" style="height:24pt;width:17.2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stylePaneFormatFilter w:val=&quot;3F01&quot;/&gt;&lt;w:documentProtection w:edit=&quot;tracked-changes&quot; w:enforcement=&quot;off&quot;/&gt;&lt;w:defaultTabStop w:val=&quot;420&quot;/&gt;&lt;w:characterSpacingControl w:val=&quot;DontCompress&quot;/&gt;&lt;w:webPageEncoding w:val=&quot;x-cp20936&quot;/&gt;&lt;w:optimizeForBrowser/&gt;&lt;w:validateAgainstSchema/&gt;&lt;w:saveInvalidXML w:val=&quot;off&quot;/&gt;&lt;w:ignoreMixedContent w:val=&quot;off&quot;/&gt;&lt;w:alwaysShowPlaceholderText w:val=&quot;off&quot;/&gt;&lt;w:compat&gt;&lt;w:balanceSingleByteDoubleByteWidth/&gt;&lt;w:ulTrailSpace/&gt;&lt;w:doNotExpandShiftReturn/&gt;&lt;w:adjustLineHeightInTable/&gt;&lt;w:breakWrappedTables/&gt;&lt;w:snapToGridInCell/&gt;&lt;w:dontGrowAutofit/&gt;&lt;w:useFELayout/&gt;&lt;/w:compat&gt;&lt;w:docVars&gt;&lt;w:docVar w:name=&quot;commondata&quot; w:val=&quot;eyJoZGlkIjoiMjI5NmZiYjc0MzdhMzA3NzNhM2UwOTFhMjljNjgzNDAifQ==&quot;/&gt;&lt;/w:docVars&gt;&lt;wsp:rsids&gt;&lt;wsp:rsidRoot wsp:val=&quot;00A14947&quot;/&gt;&lt;wsp:rsid wsp:val=&quot;0000070D&quot;/&gt;&lt;wsp:rsid wsp:val=&quot;00000718&quot;/&gt;&lt;wsp:rsid wsp:val=&quot;000010EF&quot;/&gt;&lt;wsp:rsid wsp:val=&quot;00001EE4&quot;/&gt;&lt;wsp:rsid wsp:val=&quot;00002D64&quot;/&gt;&lt;wsp:rsid wsp:val=&quot;00003EE0&quot;/&gt;&lt;wsp:rsid wsp:val=&quot;00005593&quot;/&gt;&lt;wsp:rsid wsp:val=&quot;000060B3&quot;/&gt;&lt;wsp:rsid wsp:val=&quot;00010066&quot;/&gt;&lt;wsp:rsid wsp:val=&quot;00012959&quot;/&gt;&lt;wsp:rsid wsp:val=&quot;00014BF1&quot;/&gt;&lt;wsp:rsid wsp:val=&quot;00015405&quot;/&gt;&lt;wsp:rsid wsp:val=&quot;0001681B&quot;/&gt;&lt;wsp:rsid wsp:val=&quot;0002034C&quot;/&gt;&lt;wsp:rsid wsp:val=&quot;000245D8&quot;/&gt;&lt;wsp:rsid wsp:val=&quot;00031513&quot;/&gt;&lt;wsp:rsid wsp:val=&quot;00036DA1&quot;/&gt;&lt;wsp:rsid wsp:val=&quot;00041039&quot;/&gt;&lt;wsp:rsid wsp:val=&quot;0004188E&quot;/&gt;&lt;wsp:rsid wsp:val=&quot;0004364B&quot;/&gt;&lt;wsp:rsid wsp:val=&quot;00043CFF&quot;/&gt;&lt;wsp:rsid wsp:val=&quot;0005244D&quot;/&gt;&lt;wsp:rsid wsp:val=&quot;00056DBE&quot;/&gt;&lt;wsp:rsid wsp:val=&quot;00060BBB&quot;/&gt;&lt;wsp:rsid wsp:val=&quot;00061B1F&quot;/&gt;&lt;wsp:rsid wsp:val=&quot;0006236C&quot;/&gt;&lt;wsp:rsid wsp:val=&quot;00063A72&quot;/&gt;&lt;wsp:rsid wsp:val=&quot;00065CFE&quot;/&gt;&lt;wsp:rsid wsp:val=&quot;00066766&quot;/&gt;&lt;wsp:rsid wsp:val=&quot;00067AA7&quot;/&gt;&lt;wsp:rsid wsp:val=&quot;000730CB&quot;/&gt;&lt;wsp:rsid wsp:val=&quot;000733C4&quot;/&gt;&lt;wsp:rsid wsp:val=&quot;00074783&quot;/&gt;&lt;wsp:rsid wsp:val=&quot;000804DD&quot;/&gt;&lt;wsp:rsid wsp:val=&quot;0008070B&quot;/&gt;&lt;wsp:rsid wsp:val=&quot;000810AC&quot;/&gt;&lt;wsp:rsid wsp:val=&quot;00081A02&quot;/&gt;&lt;wsp:rsid wsp:val=&quot;00082231&quot;/&gt;&lt;wsp:rsid wsp:val=&quot;00085255&quot;/&gt;&lt;wsp:rsid wsp:val=&quot;00086BAB&quot;/&gt;&lt;wsp:rsid wsp:val=&quot;00092D30&quot;/&gt;&lt;wsp:rsid wsp:val=&quot;00092D38&quot;/&gt;&lt;wsp:rsid wsp:val=&quot;000933A5&quot;/&gt;&lt;wsp:rsid wsp:val=&quot;00093660&quot;/&gt;&lt;wsp:rsid wsp:val=&quot;00093719&quot;/&gt;&lt;wsp:rsid wsp:val=&quot;0009377B&quot;/&gt;&lt;wsp:rsid wsp:val=&quot;00093D7F&quot;/&gt;&lt;wsp:rsid wsp:val=&quot;000A03D2&quot;/&gt;&lt;wsp:rsid wsp:val=&quot;000A0696&quot;/&gt;&lt;wsp:rsid wsp:val=&quot;000A20C9&quot;/&gt;&lt;wsp:rsid wsp:val=&quot;000A6116&quot;/&gt;&lt;wsp:rsid wsp:val=&quot;000B058F&quot;/&gt;&lt;wsp:rsid wsp:val=&quot;000B1A31&quot;/&gt;&lt;wsp:rsid wsp:val=&quot;000B4467&quot;/&gt;&lt;wsp:rsid wsp:val=&quot;000B46C8&quot;/&gt;&lt;wsp:rsid wsp:val=&quot;000B4DB9&quot;/&gt;&lt;wsp:rsid wsp:val=&quot;000B5271&quot;/&gt;&lt;wsp:rsid wsp:val=&quot;000C09AC&quot;/&gt;&lt;wsp:rsid wsp:val=&quot;000C3F30&quot;/&gt;&lt;wsp:rsid wsp:val=&quot;000C569A&quot;/&gt;&lt;wsp:rsid wsp:val=&quot;000C5B85&quot;/&gt;&lt;wsp:rsid wsp:val=&quot;000C5E3A&quot;/&gt;&lt;wsp:rsid wsp:val=&quot;000C767F&quot;/&gt;&lt;wsp:rsid wsp:val=&quot;000D09D8&quot;/&gt;&lt;wsp:rsid wsp:val=&quot;000D1E4D&quot;/&gt;&lt;wsp:rsid wsp:val=&quot;000D5A44&quot;/&gt;&lt;wsp:rsid wsp:val=&quot;000D5D91&quot;/&gt;&lt;wsp:rsid wsp:val=&quot;000D642F&quot;/&gt;&lt;wsp:rsid wsp:val=&quot;000E0E7F&quot;/&gt;&lt;wsp:rsid wsp:val=&quot;000E23B8&quot;/&gt;&lt;wsp:rsid wsp:val=&quot;000E3ED2&quot;/&gt;&lt;wsp:rsid wsp:val=&quot;000E620E&quot;/&gt;&lt;wsp:rsid wsp:val=&quot;000F5A6A&quot;/&gt;&lt;wsp:rsid wsp:val=&quot;0010026B&quot;/&gt;&lt;wsp:rsid wsp:val=&quot;00100946&quot;/&gt;&lt;wsp:rsid wsp:val=&quot;00102CE8&quot;/&gt;&lt;wsp:rsid wsp:val=&quot;00105237&quot;/&gt;&lt;wsp:rsid wsp:val=&quot;0011022F&quot;/&gt;&lt;wsp:rsid wsp:val=&quot;00111BCC&quot;/&gt;&lt;wsp:rsid wsp:val=&quot;001128D3&quot;/&gt;&lt;wsp:rsid wsp:val=&quot;00113901&quot;/&gt;&lt;wsp:rsid wsp:val=&quot;00124B90&quot;/&gt;&lt;wsp:rsid wsp:val=&quot;00126A96&quot;/&gt;&lt;wsp:rsid wsp:val=&quot;00126E17&quot;/&gt;&lt;wsp:rsid wsp:val=&quot;00126F6D&quot;/&gt;&lt;wsp:rsid wsp:val=&quot;00131F42&quot;/&gt;&lt;wsp:rsid wsp:val=&quot;00132BD8&quot;/&gt;&lt;wsp:rsid wsp:val=&quot;0013512B&quot;/&gt;&lt;wsp:rsid wsp:val=&quot;001357F1&quot;/&gt;&lt;wsp:rsid wsp:val=&quot;0013609D&quot;/&gt;&lt;wsp:rsid wsp:val=&quot;0014039F&quot;/&gt;&lt;wsp:rsid wsp:val=&quot;00140FA8&quot;/&gt;&lt;wsp:rsid wsp:val=&quot;00141085&quot;/&gt;&lt;wsp:rsid wsp:val=&quot;00142C7B&quot;/&gt;&lt;wsp:rsid wsp:val=&quot;00142DFC&quot;/&gt;&lt;wsp:rsid wsp:val=&quot;00142FEB&quot;/&gt;&lt;wsp:rsid wsp:val=&quot;001435D3&quot;/&gt;&lt;wsp:rsid wsp:val=&quot;00143A2D&quot;/&gt;&lt;wsp:rsid wsp:val=&quot;00145308&quot;/&gt;&lt;wsp:rsid wsp:val=&quot;00145A41&quot;/&gt;&lt;wsp:rsid wsp:val=&quot;00145DCD&quot;/&gt;&lt;wsp:rsid wsp:val=&quot;00151675&quot;/&gt;&lt;wsp:rsid wsp:val=&quot;00151C85&quot;/&gt;&lt;wsp:rsid wsp:val=&quot;00152725&quot;/&gt;&lt;wsp:rsid wsp:val=&quot;0015380C&quot;/&gt;&lt;wsp:rsid wsp:val=&quot;00153D22&quot;/&gt;&lt;wsp:rsid wsp:val=&quot;00156C5C&quot;/&gt;&lt;wsp:rsid wsp:val=&quot;00157435&quot;/&gt;&lt;wsp:rsid wsp:val=&quot;00165A39&quot;/&gt;&lt;wsp:rsid wsp:val=&quot;00167252&quot;/&gt;&lt;wsp:rsid wsp:val=&quot;001713F7&quot;/&gt;&lt;wsp:rsid wsp:val=&quot;00172069&quot;/&gt;&lt;wsp:rsid wsp:val=&quot;0017504D&quot;/&gt;&lt;wsp:rsid wsp:val=&quot;00176248&quot;/&gt;&lt;wsp:rsid wsp:val=&quot;0017671A&quot;/&gt;&lt;wsp:rsid wsp:val=&quot;00177422&quot;/&gt;&lt;wsp:rsid wsp:val=&quot;0018073C&quot;/&gt;&lt;wsp:rsid wsp:val=&quot;001820D7&quot;/&gt;&lt;wsp:rsid wsp:val=&quot;00183F85&quot;/&gt;&lt;wsp:rsid wsp:val=&quot;00184590&quot;/&gt;&lt;wsp:rsid wsp:val=&quot;001870D1&quot;/&gt;&lt;wsp:rsid wsp:val=&quot;0018781E&quot;/&gt;&lt;wsp:rsid wsp:val=&quot;00187DA5&quot;/&gt;&lt;wsp:rsid wsp:val=&quot;0019262D&quot;/&gt;&lt;wsp:rsid wsp:val=&quot;001956AC&quot;/&gt;&lt;wsp:rsid wsp:val=&quot;00196784&quot;/&gt;&lt;wsp:rsid wsp:val=&quot;0019687F&quot;/&gt;&lt;wsp:rsid wsp:val=&quot;00197513&quot;/&gt;&lt;wsp:rsid wsp:val=&quot;001A03DE&quot;/&gt;&lt;wsp:rsid wsp:val=&quot;001A1B35&quot;/&gt;&lt;wsp:rsid wsp:val=&quot;001A2277&quot;/&gt;&lt;wsp:rsid wsp:val=&quot;001A48A2&quot;/&gt;&lt;wsp:rsid wsp:val=&quot;001A6066&quot;/&gt;&lt;wsp:rsid wsp:val=&quot;001A671D&quot;/&gt;&lt;wsp:rsid wsp:val=&quot;001A6F61&quot;/&gt;&lt;wsp:rsid wsp:val=&quot;001A7F87&quot;/&gt;&lt;wsp:rsid wsp:val=&quot;001B2CB5&quot;/&gt;&lt;wsp:rsid wsp:val=&quot;001B72B8&quot;/&gt;&lt;wsp:rsid wsp:val=&quot;001C0AFA&quot;/&gt;&lt;wsp:rsid wsp:val=&quot;001C177F&quot;/&gt;&lt;wsp:rsid wsp:val=&quot;001C18AE&quot;/&gt;&lt;wsp:rsid wsp:val=&quot;001C445B&quot;/&gt;&lt;wsp:rsid wsp:val=&quot;001C5B74&quot;/&gt;&lt;wsp:rsid wsp:val=&quot;001C69B3&quot;/&gt;&lt;wsp:rsid wsp:val=&quot;001D100C&quot;/&gt;&lt;wsp:rsid wsp:val=&quot;001D4A9F&quot;/&gt;&lt;wsp:rsid wsp:val=&quot;001D5595&quot;/&gt;&lt;wsp:rsid wsp:val=&quot;001D7874&quot;/&gt;&lt;wsp:rsid wsp:val=&quot;001D7F22&quot;/&gt;&lt;wsp:rsid wsp:val=&quot;001E6D91&quot;/&gt;&lt;wsp:rsid wsp:val=&quot;001F09D0&quot;/&gt;&lt;wsp:rsid wsp:val=&quot;001F0F17&quot;/&gt;&lt;wsp:rsid wsp:val=&quot;001F1A85&quot;/&gt;&lt;wsp:rsid wsp:val=&quot;001F3347&quot;/&gt;&lt;wsp:rsid wsp:val=&quot;001F336F&quot;/&gt;&lt;wsp:rsid wsp:val=&quot;001F3524&quot;/&gt;&lt;wsp:rsid wsp:val=&quot;001F4E5F&quot;/&gt;&lt;wsp:rsid wsp:val=&quot;001F62ED&quot;/&gt;&lt;wsp:rsid wsp:val=&quot;001F69E4&quot;/&gt;&lt;wsp:rsid wsp:val=&quot;00202476&quot;/&gt;&lt;wsp:rsid wsp:val=&quot;0020631F&quot;/&gt;&lt;wsp:rsid wsp:val=&quot;00212110&quot;/&gt;&lt;wsp:rsid wsp:val=&quot;002125B4&quot;/&gt;&lt;wsp:rsid wsp:val=&quot;002155B8&quot;/&gt;&lt;wsp:rsid wsp:val=&quot;00215806&quot;/&gt;&lt;wsp:rsid wsp:val=&quot;00215988&quot;/&gt;&lt;wsp:rsid wsp:val=&quot;00220B62&quot;/&gt;&lt;wsp:rsid wsp:val=&quot;00224839&quot;/&gt;&lt;wsp:rsid wsp:val=&quot;002249B2&quot;/&gt;&lt;wsp:rsid wsp:val=&quot;002256FF&quot;/&gt;&lt;wsp:rsid wsp:val=&quot;0022596E&quot;/&gt;&lt;wsp:rsid wsp:val=&quot;00226574&quot;/&gt;&lt;wsp:rsid wsp:val=&quot;002273C7&quot;/&gt;&lt;wsp:rsid wsp:val=&quot;002278EC&quot;/&gt;&lt;wsp:rsid wsp:val=&quot;002304AA&quot;/&gt;&lt;wsp:rsid wsp:val=&quot;0023280E&quot;/&gt;&lt;wsp:rsid wsp:val=&quot;00234566&quot;/&gt;&lt;wsp:rsid wsp:val=&quot;00235E20&quot;/&gt;&lt;wsp:rsid wsp:val=&quot;00236972&quot;/&gt;&lt;wsp:rsid wsp:val=&quot;002377D1&quot;/&gt;&lt;wsp:rsid wsp:val=&quot;00241E01&quot;/&gt;&lt;wsp:rsid wsp:val=&quot;00241E30&quot;/&gt;&lt;wsp:rsid wsp:val=&quot;0024582C&quot;/&gt;&lt;wsp:rsid wsp:val=&quot;0024692A&quot;/&gt;&lt;wsp:rsid wsp:val=&quot;002506BC&quot;/&gt;&lt;wsp:rsid wsp:val=&quot;002516DE&quot;/&gt;&lt;wsp:rsid wsp:val=&quot;00252DCE&quot;/&gt;&lt;wsp:rsid wsp:val=&quot;00254345&quot;/&gt;&lt;wsp:rsid wsp:val=&quot;00254B4B&quot;/&gt;&lt;wsp:rsid wsp:val=&quot;0025524D&quot;/&gt;&lt;wsp:rsid wsp:val=&quot;00257A5E&quot;/&gt;&lt;wsp:rsid wsp:val=&quot;002643DD&quot;/&gt;&lt;wsp:rsid wsp:val=&quot;00264557&quot;/&gt;&lt;wsp:rsid wsp:val=&quot;00267C15&quot;/&gt;&lt;wsp:rsid wsp:val=&quot;002709A2&quot;/&gt;&lt;wsp:rsid wsp:val=&quot;00271811&quot;/&gt;&lt;wsp:rsid wsp:val=&quot;002800C4&quot;/&gt;&lt;wsp:rsid wsp:val=&quot;002805AB&quot;/&gt;&lt;wsp:rsid wsp:val=&quot;002821E6&quot;/&gt;&lt;wsp:rsid wsp:val=&quot;00284204&quot;/&gt;&lt;wsp:rsid wsp:val=&quot;002845CC&quot;/&gt;&lt;wsp:rsid wsp:val=&quot;00287707&quot;/&gt;&lt;wsp:rsid wsp:val=&quot;00291773&quot;/&gt;&lt;wsp:rsid wsp:val=&quot;00292D24&quot;/&gt;&lt;wsp:rsid wsp:val=&quot;0029638B&quot;/&gt;&lt;wsp:rsid wsp:val=&quot;00296986&quot;/&gt;&lt;wsp:rsid wsp:val=&quot;002A0C36&quot;/&gt;&lt;wsp:rsid wsp:val=&quot;002A168C&quot;/&gt;&lt;wsp:rsid wsp:val=&quot;002A3DC7&quot;/&gt;&lt;wsp:rsid wsp:val=&quot;002A4CB9&quot;/&gt;&lt;wsp:rsid wsp:val=&quot;002A4D20&quot;/&gt;&lt;wsp:rsid wsp:val=&quot;002A6078&quot;/&gt;&lt;wsp:rsid wsp:val=&quot;002A7B7D&quot;/&gt;&lt;wsp:rsid wsp:val=&quot;002B22D8&quot;/&gt;&lt;wsp:rsid wsp:val=&quot;002B34A1&quot;/&gt;&lt;wsp:rsid wsp:val=&quot;002B34E3&quot;/&gt;&lt;wsp:rsid wsp:val=&quot;002B49E2&quot;/&gt;&lt;wsp:rsid wsp:val=&quot;002B60E6&quot;/&gt;&lt;wsp:rsid wsp:val=&quot;002B7B00&quot;/&gt;&lt;wsp:rsid wsp:val=&quot;002B7C44&quot;/&gt;&lt;wsp:rsid wsp:val=&quot;002C24F6&quot;/&gt;&lt;wsp:rsid wsp:val=&quot;002C296F&quot;/&gt;&lt;wsp:rsid wsp:val=&quot;002C2ACD&quot;/&gt;&lt;wsp:rsid wsp:val=&quot;002C2B17&quot;/&gt;&lt;wsp:rsid wsp:val=&quot;002C3858&quot;/&gt;&lt;wsp:rsid wsp:val=&quot;002C4883&quot;/&gt;&lt;wsp:rsid wsp:val=&quot;002C608A&quot;/&gt;&lt;wsp:rsid wsp:val=&quot;002C7AB1&quot;/&gt;&lt;wsp:rsid wsp:val=&quot;002D122F&quot;/&gt;&lt;wsp:rsid wsp:val=&quot;002D2C8E&quot;/&gt;&lt;wsp:rsid wsp:val=&quot;002D3DD0&quot;/&gt;&lt;wsp:rsid wsp:val=&quot;002D593E&quot;/&gt;&lt;wsp:rsid wsp:val=&quot;002D702E&quot;/&gt;&lt;wsp:rsid wsp:val=&quot;002E1F3A&quot;/&gt;&lt;wsp:rsid wsp:val=&quot;002E298A&quot;/&gt;&lt;wsp:rsid wsp:val=&quot;002E2F3C&quot;/&gt;&lt;wsp:rsid wsp:val=&quot;002E7700&quot;/&gt;&lt;wsp:rsid wsp:val=&quot;002F2C81&quot;/&gt;&lt;wsp:rsid wsp:val=&quot;002F2E67&quot;/&gt;&lt;wsp:rsid wsp:val=&quot;002F4D32&quot;/&gt;&lt;wsp:rsid wsp:val=&quot;00301978&quot;/&gt;&lt;wsp:rsid wsp:val=&quot;00302FE7&quot;/&gt;&lt;wsp:rsid wsp:val=&quot;0030332C&quot;/&gt;&lt;wsp:rsid wsp:val=&quot;00303C66&quot;/&gt;&lt;wsp:rsid wsp:val=&quot;003051C2&quot;/&gt;&lt;wsp:rsid wsp:val=&quot;00305FB7&quot;/&gt;&lt;wsp:rsid wsp:val=&quot;003069F6&quot;/&gt;&lt;wsp:rsid wsp:val=&quot;00311D99&quot;/&gt;&lt;wsp:rsid wsp:val=&quot;00311F4E&quot;/&gt;&lt;wsp:rsid wsp:val=&quot;00312296&quot;/&gt;&lt;wsp:rsid wsp:val=&quot;00312C3E&quot;/&gt;&lt;wsp:rsid wsp:val=&quot;00312F02&quot;/&gt;&lt;wsp:rsid wsp:val=&quot;0031333D&quot;/&gt;&lt;wsp:rsid wsp:val=&quot;0031373A&quot;/&gt;&lt;wsp:rsid wsp:val=&quot;00314F0E&quot;/&gt;&lt;wsp:rsid wsp:val=&quot;00317FBD&quot;/&gt;&lt;wsp:rsid wsp:val=&quot;00321D8E&quot;/&gt;&lt;wsp:rsid wsp:val=&quot;00325928&quot;/&gt;&lt;wsp:rsid wsp:val=&quot;00326D90&quot;/&gt;&lt;wsp:rsid wsp:val=&quot;00332742&quot;/&gt;&lt;wsp:rsid wsp:val=&quot;0033280A&quot;/&gt;&lt;wsp:rsid wsp:val=&quot;00332863&quot;/&gt;&lt;wsp:rsid wsp:val=&quot;00333FCE&quot;/&gt;&lt;wsp:rsid wsp:val=&quot;00335265&quot;/&gt;&lt;wsp:rsid wsp:val=&quot;00335364&quot;/&gt;&lt;wsp:rsid wsp:val=&quot;0033684D&quot;/&gt;&lt;wsp:rsid wsp:val=&quot;00336B9F&quot;/&gt;&lt;wsp:rsid wsp:val=&quot;00337B42&quot;/&gt;&lt;wsp:rsid wsp:val=&quot;00340D1F&quot;/&gt;&lt;wsp:rsid wsp:val=&quot;00341B42&quot;/&gt;&lt;wsp:rsid wsp:val=&quot;0034269A&quot;/&gt;&lt;wsp:rsid wsp:val=&quot;0034348F&quot;/&gt;&lt;wsp:rsid wsp:val=&quot;00350CFF&quot;/&gt;&lt;wsp:rsid wsp:val=&quot;00353222&quot;/&gt;&lt;wsp:rsid wsp:val=&quot;00355306&quot;/&gt;&lt;wsp:rsid wsp:val=&quot;0035581D&quot;/&gt;&lt;wsp:rsid wsp:val=&quot;00356653&quot;/&gt;&lt;wsp:rsid wsp:val=&quot;0035743F&quot;/&gt;&lt;wsp:rsid wsp:val=&quot;00357BE2&quot;/&gt;&lt;wsp:rsid wsp:val=&quot;0036170C&quot;/&gt;&lt;wsp:rsid wsp:val=&quot;00361BD1&quot;/&gt;&lt;wsp:rsid wsp:val=&quot;003638C7&quot;/&gt;&lt;wsp:rsid wsp:val=&quot;003647F6&quot;/&gt;&lt;wsp:rsid wsp:val=&quot;00364AE8&quot;/&gt;&lt;wsp:rsid wsp:val=&quot;00366E0F&quot;/&gt;&lt;wsp:rsid wsp:val=&quot;00367FB4&quot;/&gt;&lt;wsp:rsid wsp:val=&quot;00371C4F&quot;/&gt;&lt;wsp:rsid wsp:val=&quot;003731F2&quot;/&gt;&lt;wsp:rsid wsp:val=&quot;00376A4F&quot;/&gt;&lt;wsp:rsid wsp:val=&quot;00377471&quot;/&gt;&lt;wsp:rsid wsp:val=&quot;00377C82&quot;/&gt;&lt;wsp:rsid wsp:val=&quot;00381A72&quot;/&gt;&lt;wsp:rsid wsp:val=&quot;00383783&quot;/&gt;&lt;wsp:rsid wsp:val=&quot;0038409E&quot;/&gt;&lt;wsp:rsid wsp:val=&quot;00384676&quot;/&gt;&lt;wsp:rsid wsp:val=&quot;00385F28&quot;/&gt;&lt;wsp:rsid wsp:val=&quot;00390857&quot;/&gt;&lt;wsp:rsid wsp:val=&quot;0039458F&quot;/&gt;&lt;wsp:rsid wsp:val=&quot;003A3785&quot;/&gt;&lt;wsp:rsid wsp:val=&quot;003A4BF3&quot;/&gt;&lt;wsp:rsid wsp:val=&quot;003B1798&quot;/&gt;&lt;wsp:rsid wsp:val=&quot;003B38F8&quot;/&gt;&lt;wsp:rsid wsp:val=&quot;003B420D&quot;/&gt;&lt;wsp:rsid wsp:val=&quot;003C01A9&quot;/&gt;&lt;wsp:rsid wsp:val=&quot;003C0F25&quot;/&gt;&lt;wsp:rsid wsp:val=&quot;003C1C0D&quot;/&gt;&lt;wsp:rsid wsp:val=&quot;003C2BEC&quot;/&gt;&lt;wsp:rsid wsp:val=&quot;003C6C16&quot;/&gt;&lt;wsp:rsid wsp:val=&quot;003C6DD7&quot;/&gt;&lt;wsp:rsid wsp:val=&quot;003C6EAC&quot;/&gt;&lt;wsp:rsid wsp:val=&quot;003D032A&quot;/&gt;&lt;wsp:rsid wsp:val=&quot;003D3FC1&quot;/&gt;&lt;wsp:rsid wsp:val=&quot;003D6067&quot;/&gt;&lt;wsp:rsid wsp:val=&quot;003D794D&quot;/&gt;&lt;wsp:rsid wsp:val=&quot;003D7EE9&quot;/&gt;&lt;wsp:rsid wsp:val=&quot;003E15AA&quot;/&gt;&lt;wsp:rsid wsp:val=&quot;003E18FE&quot;/&gt;&lt;wsp:rsid wsp:val=&quot;003E3058&quot;/&gt;&lt;wsp:rsid wsp:val=&quot;003E4779&quot;/&gt;&lt;wsp:rsid wsp:val=&quot;003E4ACE&quot;/&gt;&lt;wsp:rsid wsp:val=&quot;003E5F06&quot;/&gt;&lt;wsp:rsid wsp:val=&quot;003E70FF&quot;/&gt;&lt;wsp:rsid wsp:val=&quot;003E719E&quot;/&gt;&lt;wsp:rsid wsp:val=&quot;003E76A9&quot;/&gt;&lt;wsp:rsid wsp:val=&quot;003E7FAC&quot;/&gt;&lt;wsp:rsid wsp:val=&quot;003F0809&quot;/&gt;&lt;wsp:rsid wsp:val=&quot;003F0E67&quot;/&gt;&lt;wsp:rsid wsp:val=&quot;003F1311&quot;/&gt;&lt;wsp:rsid wsp:val=&quot;003F32BD&quot;/&gt;&lt;wsp:rsid wsp:val=&quot;003F6A8C&quot;/&gt;&lt;wsp:rsid wsp:val=&quot;003F6C92&quot;/&gt;&lt;wsp:rsid wsp:val=&quot;003F755C&quot;/&gt;&lt;wsp:rsid wsp:val=&quot;003F7616&quot;/&gt;&lt;wsp:rsid wsp:val=&quot;003F78CF&quot;/&gt;&lt;wsp:rsid wsp:val=&quot;004002D2&quot;/&gt;&lt;wsp:rsid wsp:val=&quot;00400A39&quot;/&gt;&lt;wsp:rsid wsp:val=&quot;00400F0A&quot;/&gt;&lt;wsp:rsid wsp:val=&quot;00406F01&quot;/&gt;&lt;wsp:rsid wsp:val=&quot;00410596&quot;/&gt;&lt;wsp:rsid wsp:val=&quot;00413AFF&quot;/&gt;&lt;wsp:rsid wsp:val=&quot;00413D70&quot;/&gt;&lt;wsp:rsid wsp:val=&quot;0041470A&quot;/&gt;&lt;wsp:rsid wsp:val=&quot;0041491A&quot;/&gt;&lt;wsp:rsid wsp:val=&quot;00415E52&quot;/&gt;&lt;wsp:rsid wsp:val=&quot;00416D50&quot;/&gt;&lt;wsp:rsid wsp:val=&quot;00416F06&quot;/&gt;&lt;wsp:rsid wsp:val=&quot;00416FD5&quot;/&gt;&lt;wsp:rsid wsp:val=&quot;00417772&quot;/&gt;&lt;wsp:rsid wsp:val=&quot;00417D46&quot;/&gt;&lt;wsp:rsid wsp:val=&quot;00420E6A&quot;/&gt;&lt;wsp:rsid wsp:val=&quot;00425A9E&quot;/&gt;&lt;wsp:rsid wsp:val=&quot;00426D6B&quot;/&gt;&lt;wsp:rsid wsp:val=&quot;00431E6C&quot;/&gt;&lt;wsp:rsid wsp:val=&quot;00433B13&quot;/&gt;&lt;wsp:rsid wsp:val=&quot;00433CE7&quot;/&gt;&lt;wsp:rsid wsp:val=&quot;00436372&quot;/&gt;&lt;wsp:rsid wsp:val=&quot;0043649C&quot;/&gt;&lt;wsp:rsid wsp:val=&quot;00437EC1&quot;/&gt;&lt;wsp:rsid wsp:val=&quot;004459B9&quot;/&gt;&lt;wsp:rsid wsp:val=&quot;00450D9A&quot;/&gt;&lt;wsp:rsid wsp:val=&quot;00452738&quot;/&gt;&lt;wsp:rsid wsp:val=&quot;00453A43&quot;/&gt;&lt;wsp:rsid wsp:val=&quot;00456091&quot;/&gt;&lt;wsp:rsid wsp:val=&quot;00460197&quot;/&gt;&lt;wsp:rsid wsp:val=&quot;00460E94&quot;/&gt;&lt;wsp:rsid wsp:val=&quot;00463036&quot;/&gt;&lt;wsp:rsid wsp:val=&quot;00466321&quot;/&gt;&lt;wsp:rsid wsp:val=&quot;00466876&quot;/&gt;&lt;wsp:rsid wsp:val=&quot;00466CA7&quot;/&gt;&lt;wsp:rsid wsp:val=&quot;00471C55&quot;/&gt;&lt;wsp:rsid wsp:val=&quot;00472296&quot;/&gt;&lt;wsp:rsid wsp:val=&quot;004754B3&quot;/&gt;&lt;wsp:rsid wsp:val=&quot;004766E5&quot;/&gt;&lt;wsp:rsid wsp:val=&quot;00477E8F&quot;/&gt;&lt;wsp:rsid wsp:val=&quot;00482283&quot;/&gt;&lt;wsp:rsid wsp:val=&quot;00483155&quot;/&gt;&lt;wsp:rsid wsp:val=&quot;00484B9B&quot;/&gt;&lt;wsp:rsid wsp:val=&quot;00485367&quot;/&gt;&lt;wsp:rsid wsp:val=&quot;004855F6&quot;/&gt;&lt;wsp:rsid wsp:val=&quot;0048661E&quot;/&gt;&lt;wsp:rsid wsp:val=&quot;00491F41&quot;/&gt;&lt;wsp:rsid wsp:val=&quot;0049427B&quot;/&gt;&lt;wsp:rsid wsp:val=&quot;00494670&quot;/&gt;&lt;wsp:rsid wsp:val=&quot;00494B08&quot;/&gt;&lt;wsp:rsid wsp:val=&quot;00494E0F&quot;/&gt;&lt;wsp:rsid wsp:val=&quot;00495C7B&quot;/&gt;&lt;wsp:rsid wsp:val=&quot;00495EBE&quot;/&gt;&lt;wsp:rsid wsp:val=&quot;00497083&quot;/&gt;&lt;wsp:rsid wsp:val=&quot;004A3823&quot;/&gt;&lt;wsp:rsid wsp:val=&quot;004A5051&quot;/&gt;&lt;wsp:rsid wsp:val=&quot;004A7EDB&quot;/&gt;&lt;wsp:rsid wsp:val=&quot;004B5FD7&quot;/&gt;&lt;wsp:rsid wsp:val=&quot;004C0113&quot;/&gt;&lt;wsp:rsid wsp:val=&quot;004C2405&quot;/&gt;&lt;wsp:rsid wsp:val=&quot;004D1A86&quot;/&gt;&lt;wsp:rsid wsp:val=&quot;004D502C&quot;/&gt;&lt;wsp:rsid wsp:val=&quot;004D7476&quot;/&gt;&lt;wsp:rsid wsp:val=&quot;004E41C6&quot;/&gt;&lt;wsp:rsid wsp:val=&quot;004E4CA4&quot;/&gt;&lt;wsp:rsid wsp:val=&quot;004E651B&quot;/&gt;&lt;wsp:rsid wsp:val=&quot;004E67A9&quot;/&gt;&lt;wsp:rsid wsp:val=&quot;004E6946&quot;/&gt;&lt;wsp:rsid wsp:val=&quot;004E70BD&quot;/&gt;&lt;wsp:rsid wsp:val=&quot;004F1AD8&quot;/&gt;&lt;wsp:rsid wsp:val=&quot;004F33F4&quot;/&gt;&lt;wsp:rsid wsp:val=&quot;004F3D47&quot;/&gt;&lt;wsp:rsid wsp:val=&quot;004F43A1&quot;/&gt;&lt;wsp:rsid wsp:val=&quot;004F64DB&quot;/&gt;&lt;wsp:rsid wsp:val=&quot;00501286&quot;/&gt;&lt;wsp:rsid wsp:val=&quot;00501499&quot;/&gt;&lt;wsp:rsid wsp:val=&quot;005039CB&quot;/&gt;&lt;wsp:rsid wsp:val=&quot;00503E17&quot;/&gt;&lt;wsp:rsid wsp:val=&quot;00504B24&quot;/&gt;&lt;wsp:rsid wsp:val=&quot;00504BDB&quot;/&gt;&lt;wsp:rsid wsp:val=&quot;0050558F&quot;/&gt;&lt;wsp:rsid wsp:val=&quot;00506286&quot;/&gt;&lt;wsp:rsid wsp:val=&quot;00506C5F&quot;/&gt;&lt;wsp:rsid wsp:val=&quot;00510813&quot;/&gt;&lt;wsp:rsid wsp:val=&quot;005109F0&quot;/&gt;&lt;wsp:rsid wsp:val=&quot;00511990&quot;/&gt;&lt;wsp:rsid wsp:val=&quot;00511DE0&quot;/&gt;&lt;wsp:rsid wsp:val=&quot;005128F1&quot;/&gt;&lt;wsp:rsid wsp:val=&quot;00512E24&quot;/&gt;&lt;wsp:rsid wsp:val=&quot;00514870&quot;/&gt;&lt;wsp:rsid wsp:val=&quot;00514B2E&quot;/&gt;&lt;wsp:rsid wsp:val=&quot;00514B9B&quot;/&gt;&lt;wsp:rsid wsp:val=&quot;005163E2&quot;/&gt;&lt;wsp:rsid wsp:val=&quot;00517F02&quot;/&gt;&lt;wsp:rsid wsp:val=&quot;00520B30&quot;/&gt;&lt;wsp:rsid wsp:val=&quot;00521186&quot;/&gt;&lt;wsp:rsid wsp:val=&quot;0052273C&quot;/&gt;&lt;wsp:rsid wsp:val=&quot;00522E16&quot;/&gt;&lt;wsp:rsid wsp:val=&quot;0052386B&quot;/&gt;&lt;wsp:rsid wsp:val=&quot;00524303&quot;/&gt;&lt;wsp:rsid wsp:val=&quot;005258A2&quot;/&gt;&lt;wsp:rsid wsp:val=&quot;00526D9F&quot;/&gt;&lt;wsp:rsid wsp:val=&quot;00533BF9&quot;/&gt;&lt;wsp:rsid wsp:val=&quot;00534765&quot;/&gt;&lt;wsp:rsid wsp:val=&quot;0053561F&quot;/&gt;&lt;wsp:rsid wsp:val=&quot;00535E67&quot;/&gt;&lt;wsp:rsid wsp:val=&quot;00535EB9&quot;/&gt;&lt;wsp:rsid wsp:val=&quot;00537B54&quot;/&gt;&lt;wsp:rsid wsp:val=&quot;005401AE&quot;/&gt;&lt;wsp:rsid wsp:val=&quot;00540AE1&quot;/&gt;&lt;wsp:rsid wsp:val=&quot;00542E07&quot;/&gt;&lt;wsp:rsid wsp:val=&quot;00542EB6&quot;/&gt;&lt;wsp:rsid wsp:val=&quot;00545424&quot;/&gt;&lt;wsp:rsid wsp:val=&quot;00547541&quot;/&gt;&lt;wsp:rsid wsp:val=&quot;00547C63&quot;/&gt;&lt;wsp:rsid wsp:val=&quot;005539FB&quot;/&gt;&lt;wsp:rsid wsp:val=&quot;00554A7B&quot;/&gt;&lt;wsp:rsid wsp:val=&quot;0055572C&quot;/&gt;&lt;wsp:rsid wsp:val=&quot;0055625F&quot;/&gt;&lt;wsp:rsid wsp:val=&quot;005571F8&quot;/&gt;&lt;wsp:rsid wsp:val=&quot;00560B13&quot;/&gt;&lt;wsp:rsid wsp:val=&quot;0056106A&quot;/&gt;&lt;wsp:rsid wsp:val=&quot;0056132B&quot;/&gt;&lt;wsp:rsid wsp:val=&quot;0056178C&quot;/&gt;&lt;wsp:rsid wsp:val=&quot;00561FE0&quot;/&gt;&lt;wsp:rsid wsp:val=&quot;00566416&quot;/&gt;&lt;wsp:rsid wsp:val=&quot;005720AE&quot;/&gt;&lt;wsp:rsid wsp:val=&quot;0058033D&quot;/&gt;&lt;wsp:rsid wsp:val=&quot;00582717&quot;/&gt;&lt;wsp:rsid wsp:val=&quot;00582B4D&quot;/&gt;&lt;wsp:rsid wsp:val=&quot;00585A2F&quot;/&gt;&lt;wsp:rsid wsp:val=&quot;00586F7D&quot;/&gt;&lt;wsp:rsid wsp:val=&quot;005876AD&quot;/&gt;&lt;wsp:rsid wsp:val=&quot;00590731&quot;/&gt;&lt;wsp:rsid wsp:val=&quot;00593129&quot;/&gt;&lt;wsp:rsid wsp:val=&quot;00594D77&quot;/&gt;&lt;wsp:rsid wsp:val=&quot;005969E4&quot;/&gt;&lt;wsp:rsid wsp:val=&quot;005A06B7&quot;/&gt;&lt;wsp:rsid wsp:val=&quot;005A1759&quot;/&gt;&lt;wsp:rsid wsp:val=&quot;005A516D&quot;/&gt;&lt;wsp:rsid wsp:val=&quot;005A68A7&quot;/&gt;&lt;wsp:rsid wsp:val=&quot;005B09C8&quot;/&gt;&lt;wsp:rsid wsp:val=&quot;005B404B&quot;/&gt;&lt;wsp:rsid wsp:val=&quot;005B653D&quot;/&gt;&lt;wsp:rsid wsp:val=&quot;005C1D3A&quot;/&gt;&lt;wsp:rsid wsp:val=&quot;005D36AB&quot;/&gt;&lt;wsp:rsid wsp:val=&quot;005D41D9&quot;/&gt;&lt;wsp:rsid wsp:val=&quot;005D4233&quot;/&gt;&lt;wsp:rsid wsp:val=&quot;005D4CFC&quot;/&gt;&lt;wsp:rsid wsp:val=&quot;005E2FBC&quot;/&gt;&lt;wsp:rsid wsp:val=&quot;005E7E45&quot;/&gt;&lt;wsp:rsid wsp:val=&quot;005F17BF&quot;/&gt;&lt;wsp:rsid wsp:val=&quot;005F187E&quot;/&gt;&lt;wsp:rsid wsp:val=&quot;005F7AB1&quot;/&gt;&lt;wsp:rsid wsp:val=&quot;00604BA3&quot;/&gt;&lt;wsp:rsid wsp:val=&quot;00604BE9&quot;/&gt;&lt;wsp:rsid wsp:val=&quot;00605931&quot;/&gt;&lt;wsp:rsid wsp:val=&quot;00605E30&quot;/&gt;&lt;wsp:rsid wsp:val=&quot;0061158D&quot;/&gt;&lt;wsp:rsid wsp:val=&quot;0061510F&quot;/&gt;&lt;wsp:rsid wsp:val=&quot;00617852&quot;/&gt;&lt;wsp:rsid wsp:val=&quot;00617CC3&quot;/&gt;&lt;wsp:rsid wsp:val=&quot;006210B5&quot;/&gt;&lt;wsp:rsid wsp:val=&quot;006215B1&quot;/&gt;&lt;wsp:rsid wsp:val=&quot;0062531C&quot;/&gt;&lt;wsp:rsid wsp:val=&quot;00625604&quot;/&gt;&lt;wsp:rsid wsp:val=&quot;006260C5&quot;/&gt;&lt;wsp:rsid wsp:val=&quot;006308AF&quot;/&gt;&lt;wsp:rsid wsp:val=&quot;0063177B&quot;/&gt;&lt;wsp:rsid wsp:val=&quot;00635152&quot;/&gt;&lt;wsp:rsid wsp:val=&quot;0063702B&quot;/&gt;&lt;wsp:rsid wsp:val=&quot;006377A6&quot;/&gt;&lt;wsp:rsid wsp:val=&quot;00637A3D&quot;/&gt;&lt;wsp:rsid wsp:val=&quot;006411EF&quot;/&gt;&lt;wsp:rsid wsp:val=&quot;00642D23&quot;/&gt;&lt;wsp:rsid wsp:val=&quot;00643A56&quot;/&gt;&lt;wsp:rsid wsp:val=&quot;00650211&quot;/&gt;&lt;wsp:rsid wsp:val=&quot;0065038C&quot;/&gt;&lt;wsp:rsid wsp:val=&quot;00652855&quot;/&gt;&lt;wsp:rsid wsp:val=&quot;00654ED9&quot;/&gt;&lt;wsp:rsid wsp:val=&quot;00660540&quot;/&gt;&lt;wsp:rsid wsp:val=&quot;00666822&quot;/&gt;&lt;wsp:rsid wsp:val=&quot;006723F4&quot;/&gt;&lt;wsp:rsid wsp:val=&quot;00672F71&quot;/&gt;&lt;wsp:rsid wsp:val=&quot;006748B8&quot;/&gt;&lt;wsp:rsid wsp:val=&quot;006775C3&quot;/&gt;&lt;wsp:rsid wsp:val=&quot;00681A25&quot;/&gt;&lt;wsp:rsid wsp:val=&quot;00682AAF&quot;/&gt;&lt;wsp:rsid wsp:val=&quot;00684E69&quot;/&gt;&lt;wsp:rsid wsp:val=&quot;006862EC&quot;/&gt;&lt;wsp:rsid wsp:val=&quot;00690468&quot;/&gt;&lt;wsp:rsid wsp:val=&quot;0069065A&quot;/&gt;&lt;wsp:rsid wsp:val=&quot;006906C7&quot;/&gt;&lt;wsp:rsid wsp:val=&quot;00691D3D&quot;/&gt;&lt;wsp:rsid wsp:val=&quot;00691D91&quot;/&gt;&lt;wsp:rsid wsp:val=&quot;0069290A&quot;/&gt;&lt;wsp:rsid wsp:val=&quot;00692DE4&quot;/&gt;&lt;wsp:rsid wsp:val=&quot;006930A4&quot;/&gt;&lt;wsp:rsid wsp:val=&quot;00695B0A&quot;/&gt;&lt;wsp:rsid wsp:val=&quot;00696D06&quot;/&gt;&lt;wsp:rsid wsp:val=&quot;00696E47&quot;/&gt;&lt;wsp:rsid wsp:val=&quot;0069775A&quot;/&gt;&lt;wsp:rsid wsp:val=&quot;00697813&quot;/&gt;&lt;wsp:rsid wsp:val=&quot;00697B12&quot;/&gt;&lt;wsp:rsid wsp:val=&quot;006A225C&quot;/&gt;&lt;wsp:rsid wsp:val=&quot;006A3EE8&quot;/&gt;&lt;wsp:rsid wsp:val=&quot;006A488B&quot;/&gt;&lt;wsp:rsid wsp:val=&quot;006A5115&quot;/&gt;&lt;wsp:rsid wsp:val=&quot;006A7209&quot;/&gt;&lt;wsp:rsid wsp:val=&quot;006A72BF&quot;/&gt;&lt;wsp:rsid wsp:val=&quot;006B03F2&quot;/&gt;&lt;wsp:rsid wsp:val=&quot;006B1434&quot;/&gt;&lt;wsp:rsid wsp:val=&quot;006B37DC&quot;/&gt;&lt;wsp:rsid wsp:val=&quot;006B3B32&quot;/&gt;&lt;wsp:rsid wsp:val=&quot;006B4F68&quot;/&gt;&lt;wsp:rsid wsp:val=&quot;006C0592&quot;/&gt;&lt;wsp:rsid wsp:val=&quot;006C272E&quot;/&gt;&lt;wsp:rsid wsp:val=&quot;006C2A2E&quot;/&gt;&lt;wsp:rsid wsp:val=&quot;006C2EC0&quot;/&gt;&lt;wsp:rsid wsp:val=&quot;006C480B&quot;/&gt;&lt;wsp:rsid wsp:val=&quot;006C5479&quot;/&gt;&lt;wsp:rsid wsp:val=&quot;006C577B&quot;/&gt;&lt;wsp:rsid wsp:val=&quot;006D13B5&quot;/&gt;&lt;wsp:rsid wsp:val=&quot;006D3EC8&quot;/&gt;&lt;wsp:rsid wsp:val=&quot;006D4F07&quot;/&gt;&lt;wsp:rsid wsp:val=&quot;006D6440&quot;/&gt;&lt;wsp:rsid wsp:val=&quot;006D6F3B&quot;/&gt;&lt;wsp:rsid wsp:val=&quot;006D7D37&quot;/&gt;&lt;wsp:rsid wsp:val=&quot;006E12FF&quot;/&gt;&lt;wsp:rsid wsp:val=&quot;006E47C5&quot;/&gt;&lt;wsp:rsid wsp:val=&quot;006E4978&quot;/&gt;&lt;wsp:rsid wsp:val=&quot;006E607E&quot;/&gt;&lt;wsp:rsid wsp:val=&quot;006E6703&quot;/&gt;&lt;wsp:rsid wsp:val=&quot;006E6AE5&quot;/&gt;&lt;wsp:rsid wsp:val=&quot;006F0CE9&quot;/&gt;&lt;wsp:rsid wsp:val=&quot;006F11B1&quot;/&gt;&lt;wsp:rsid wsp:val=&quot;006F36A6&quot;/&gt;&lt;wsp:rsid wsp:val=&quot;006F5D4C&quot;/&gt;&lt;wsp:rsid wsp:val=&quot;006F6BC4&quot;/&gt;&lt;wsp:rsid wsp:val=&quot;00703BA4&quot;/&gt;&lt;wsp:rsid wsp:val=&quot;00706C5D&quot;/&gt;&lt;wsp:rsid wsp:val=&quot;007077D0&quot;/&gt;&lt;wsp:rsid wsp:val=&quot;007106E4&quot;/&gt;&lt;wsp:rsid wsp:val=&quot;00711134&quot;/&gt;&lt;wsp:rsid wsp:val=&quot;00712C20&quot;/&gt;&lt;wsp:rsid wsp:val=&quot;00712E92&quot;/&gt;&lt;wsp:rsid wsp:val=&quot;00716273&quot;/&gt;&lt;wsp:rsid wsp:val=&quot;00721537&quot;/&gt;&lt;wsp:rsid wsp:val=&quot;00721777&quot;/&gt;&lt;wsp:rsid wsp:val=&quot;007236A8&quot;/&gt;&lt;wsp:rsid wsp:val=&quot;00727E77&quot;/&gt;&lt;wsp:rsid wsp:val=&quot;0073010E&quot;/&gt;&lt;wsp:rsid wsp:val=&quot;00730842&quot;/&gt;&lt;wsp:rsid wsp:val=&quot;00732922&quot;/&gt;&lt;wsp:rsid wsp:val=&quot;0073339F&quot;/&gt;&lt;wsp:rsid wsp:val=&quot;007351A9&quot;/&gt;&lt;wsp:rsid wsp:val=&quot;00735203&quot;/&gt;&lt;wsp:rsid wsp:val=&quot;00740E02&quot;/&gt;&lt;wsp:rsid wsp:val=&quot;0074145C&quot;/&gt;&lt;wsp:rsid wsp:val=&quot;007425BF&quot;/&gt;&lt;wsp:rsid wsp:val=&quot;007439C5&quot;/&gt;&lt;wsp:rsid wsp:val=&quot;0075078B&quot;/&gt;&lt;wsp:rsid wsp:val=&quot;0075162E&quot;/&gt;&lt;wsp:rsid wsp:val=&quot;00754034&quot;/&gt;&lt;wsp:rsid wsp:val=&quot;00756556&quot;/&gt;&lt;wsp:rsid wsp:val=&quot;007618C4&quot;/&gt;&lt;wsp:rsid wsp:val=&quot;00764829&quot;/&gt;&lt;wsp:rsid wsp:val=&quot;007669EC&quot;/&gt;&lt;wsp:rsid wsp:val=&quot;007677FB&quot;/&gt;&lt;wsp:rsid wsp:val=&quot;00767980&quot;/&gt;&lt;wsp:rsid wsp:val=&quot;00770B19&quot;/&gt;&lt;wsp:rsid wsp:val=&quot;007717A5&quot;/&gt;&lt;wsp:rsid wsp:val=&quot;0077463F&quot;/&gt;&lt;wsp:rsid wsp:val=&quot;00776115&quot;/&gt;&lt;wsp:rsid wsp:val=&quot;00777406&quot;/&gt;&lt;wsp:rsid wsp:val=&quot;00780425&quot;/&gt;&lt;wsp:rsid wsp:val=&quot;00781145&quot;/&gt;&lt;wsp:rsid wsp:val=&quot;00781315&quot;/&gt;&lt;wsp:rsid wsp:val=&quot;007836EA&quot;/&gt;&lt;wsp:rsid wsp:val=&quot;00783A7E&quot;/&gt;&lt;wsp:rsid wsp:val=&quot;00783C05&quot;/&gt;&lt;wsp:rsid wsp:val=&quot;00784CDA&quot;/&gt;&lt;wsp:rsid wsp:val=&quot;007906C4&quot;/&gt;&lt;wsp:rsid wsp:val=&quot;00791CDF&quot;/&gt;&lt;wsp:rsid wsp:val=&quot;00792E34&quot;/&gt;&lt;wsp:rsid wsp:val=&quot;007940EA&quot;/&gt;&lt;wsp:rsid wsp:val=&quot;007967E8&quot;/&gt;&lt;wsp:rsid wsp:val=&quot;00797198&quot;/&gt;&lt;wsp:rsid wsp:val=&quot;007A2170&quot;/&gt;&lt;wsp:rsid wsp:val=&quot;007A22BF&quot;/&gt;&lt;wsp:rsid wsp:val=&quot;007A3323&quot;/&gt;&lt;wsp:rsid wsp:val=&quot;007A3870&quot;/&gt;&lt;wsp:rsid wsp:val=&quot;007A4232&quot;/&gt;&lt;wsp:rsid wsp:val=&quot;007A4B73&quot;/&gt;&lt;wsp:rsid wsp:val=&quot;007A610E&quot;/&gt;&lt;wsp:rsid wsp:val=&quot;007A6900&quot;/&gt;&lt;wsp:rsid wsp:val=&quot;007B2EBE&quot;/&gt;&lt;wsp:rsid wsp:val=&quot;007B34C2&quot;/&gt;&lt;wsp:rsid wsp:val=&quot;007B6B5F&quot;/&gt;&lt;wsp:rsid wsp:val=&quot;007B72B8&quot;/&gt;&lt;wsp:rsid wsp:val=&quot;007B7A58&quot;/&gt;&lt;wsp:rsid wsp:val=&quot;007C21B5&quot;/&gt;&lt;wsp:rsid wsp:val=&quot;007C225B&quot;/&gt;&lt;wsp:rsid wsp:val=&quot;007C324E&quot;/&gt;&lt;wsp:rsid wsp:val=&quot;007C39E3&quot;/&gt;&lt;wsp:rsid wsp:val=&quot;007C3BB5&quot;/&gt;&lt;wsp:rsid wsp:val=&quot;007C5FF8&quot;/&gt;&lt;wsp:rsid wsp:val=&quot;007D03DB&quot;/&gt;&lt;wsp:rsid wsp:val=&quot;007D129E&quot;/&gt;&lt;wsp:rsid wsp:val=&quot;007D158A&quot;/&gt;&lt;wsp:rsid wsp:val=&quot;007D323B&quot;/&gt;&lt;wsp:rsid wsp:val=&quot;007E1981&quot;/&gt;&lt;wsp:rsid wsp:val=&quot;007E2C55&quot;/&gt;&lt;wsp:rsid wsp:val=&quot;007E3D3C&quot;/&gt;&lt;wsp:rsid wsp:val=&quot;007E4BD2&quot;/&gt;&lt;wsp:rsid wsp:val=&quot;007F24F1&quot;/&gt;&lt;wsp:rsid wsp:val=&quot;007F6D1E&quot;/&gt;&lt;wsp:rsid wsp:val=&quot;008004D4&quot;/&gt;&lt;wsp:rsid wsp:val=&quot;00801393&quot;/&gt;&lt;wsp:rsid wsp:val=&quot;008017E0&quot;/&gt;&lt;wsp:rsid wsp:val=&quot;00802F88&quot;/&gt;&lt;wsp:rsid wsp:val=&quot;00803DE8&quot;/&gt;&lt;wsp:rsid wsp:val=&quot;00810A97&quot;/&gt;&lt;wsp:rsid wsp:val=&quot;008119C1&quot;/&gt;&lt;wsp:rsid wsp:val=&quot;0081293E&quot;/&gt;&lt;wsp:rsid wsp:val=&quot;00813677&quot;/&gt;&lt;wsp:rsid wsp:val=&quot;00815465&quot;/&gt;&lt;wsp:rsid wsp:val=&quot;008154DD&quot;/&gt;&lt;wsp:rsid wsp:val=&quot;008160BB&quot;/&gt;&lt;wsp:rsid wsp:val=&quot;00816B52&quot;/&gt;&lt;wsp:rsid wsp:val=&quot;00817E9A&quot;/&gt;&lt;wsp:rsid wsp:val=&quot;00826F12&quot;/&gt;&lt;wsp:rsid wsp:val=&quot;008277BE&quot;/&gt;&lt;wsp:rsid wsp:val=&quot;00827BE9&quot;/&gt;&lt;wsp:rsid wsp:val=&quot;008306BD&quot;/&gt;&lt;wsp:rsid wsp:val=&quot;008307A7&quot;/&gt;&lt;wsp:rsid wsp:val=&quot;00831A80&quot;/&gt;&lt;wsp:rsid wsp:val=&quot;00833743&quot;/&gt;&lt;wsp:rsid wsp:val=&quot;00833D6F&quot;/&gt;&lt;wsp:rsid wsp:val=&quot;008340A4&quot;/&gt;&lt;wsp:rsid wsp:val=&quot;00836BAD&quot;/&gt;&lt;wsp:rsid wsp:val=&quot;008370C9&quot;/&gt;&lt;wsp:rsid wsp:val=&quot;00840057&quot;/&gt;&lt;wsp:rsid wsp:val=&quot;0084306D&quot;/&gt;&lt;wsp:rsid wsp:val=&quot;00846E71&quot;/&gt;&lt;wsp:rsid wsp:val=&quot;00847BB7&quot;/&gt;&lt;wsp:rsid wsp:val=&quot;00847C35&quot;/&gt;&lt;wsp:rsid wsp:val=&quot;008505BF&quot;/&gt;&lt;wsp:rsid wsp:val=&quot;00852032&quot;/&gt;&lt;wsp:rsid wsp:val=&quot;0085441C&quot;/&gt;&lt;wsp:rsid wsp:val=&quot;008569BD&quot;/&gt;&lt;wsp:rsid wsp:val=&quot;008572F7&quot;/&gt;&lt;wsp:rsid wsp:val=&quot;008651C7&quot;/&gt;&lt;wsp:rsid wsp:val=&quot;008654B5&quot;/&gt;&lt;wsp:rsid wsp:val=&quot;008654C9&quot;/&gt;&lt;wsp:rsid wsp:val=&quot;0086773D&quot;/&gt;&lt;wsp:rsid wsp:val=&quot;008678B8&quot;/&gt;&lt;wsp:rsid wsp:val=&quot;0087135F&quot;/&gt;&lt;wsp:rsid wsp:val=&quot;00872D94&quot;/&gt;&lt;wsp:rsid wsp:val=&quot;00875057&quot;/&gt;&lt;wsp:rsid wsp:val=&quot;00880364&quot;/&gt;&lt;wsp:rsid wsp:val=&quot;00880BA7&quot;/&gt;&lt;wsp:rsid wsp:val=&quot;00884593&quot;/&gt;&lt;wsp:rsid wsp:val=&quot;00885709&quot;/&gt;&lt;wsp:rsid wsp:val=&quot;00891592&quot;/&gt;&lt;wsp:rsid wsp:val=&quot;00891E9E&quot;/&gt;&lt;wsp:rsid wsp:val=&quot;0089552C&quot;/&gt;&lt;wsp:rsid wsp:val=&quot;0089732A&quot;/&gt;&lt;wsp:rsid wsp:val=&quot;00897931&quot;/&gt;&lt;wsp:rsid wsp:val=&quot;008A1C21&quot;/&gt;&lt;wsp:rsid wsp:val=&quot;008A2EA5&quot;/&gt;&lt;wsp:rsid wsp:val=&quot;008A2F68&quot;/&gt;&lt;wsp:rsid wsp:val=&quot;008A583D&quot;/&gt;&lt;wsp:rsid wsp:val=&quot;008A5D78&quot;/&gt;&lt;wsp:rsid wsp:val=&quot;008B0D05&quot;/&gt;&lt;wsp:rsid wsp:val=&quot;008B333E&quot;/&gt;&lt;wsp:rsid wsp:val=&quot;008B4FA6&quot;/&gt;&lt;wsp:rsid wsp:val=&quot;008B5282&quot;/&gt;&lt;wsp:rsid wsp:val=&quot;008B7C17&quot;/&gt;&lt;wsp:rsid wsp:val=&quot;008C2B41&quot;/&gt;&lt;wsp:rsid wsp:val=&quot;008C2D01&quot;/&gt;&lt;wsp:rsid wsp:val=&quot;008C40E6&quot;/&gt;&lt;wsp:rsid wsp:val=&quot;008C6B38&quot;/&gt;&lt;wsp:rsid wsp:val=&quot;008D033B&quot;/&gt;&lt;wsp:rsid wsp:val=&quot;008D0F7A&quot;/&gt;&lt;wsp:rsid wsp:val=&quot;008D1F4C&quot;/&gt;&lt;wsp:rsid wsp:val=&quot;008D3162&quot;/&gt;&lt;wsp:rsid wsp:val=&quot;008D3DB4&quot;/&gt;&lt;wsp:rsid wsp:val=&quot;008D516A&quot;/&gt;&lt;wsp:rsid wsp:val=&quot;008D68E4&quot;/&gt;&lt;wsp:rsid wsp:val=&quot;008D794C&quot;/&gt;&lt;wsp:rsid wsp:val=&quot;008E0506&quot;/&gt;&lt;wsp:rsid wsp:val=&quot;008E0CFF&quot;/&gt;&lt;wsp:rsid wsp:val=&quot;008E3194&quot;/&gt;&lt;wsp:rsid wsp:val=&quot;008E5D6B&quot;/&gt;&lt;wsp:rsid wsp:val=&quot;008E756D&quot;/&gt;&lt;wsp:rsid wsp:val=&quot;008E76F0&quot;/&gt;&lt;wsp:rsid wsp:val=&quot;008E776F&quot;/&gt;&lt;wsp:rsid wsp:val=&quot;008F0691&quot;/&gt;&lt;wsp:rsid wsp:val=&quot;008F099C&quot;/&gt;&lt;wsp:rsid wsp:val=&quot;008F12CD&quot;/&gt;&lt;wsp:rsid wsp:val=&quot;008F15FE&quot;/&gt;&lt;wsp:rsid wsp:val=&quot;008F2D29&quot;/&gt;&lt;wsp:rsid wsp:val=&quot;008F3BDC&quot;/&gt;&lt;wsp:rsid wsp:val=&quot;008F5187&quot;/&gt;&lt;wsp:rsid wsp:val=&quot;008F60D8&quot;/&gt;&lt;wsp:rsid wsp:val=&quot;008F7814&quot;/&gt;&lt;wsp:rsid wsp:val=&quot;00902727&quot;/&gt;&lt;wsp:rsid wsp:val=&quot;0090312B&quot;/&gt;&lt;wsp:rsid wsp:val=&quot;009050AC&quot;/&gt;&lt;wsp:rsid wsp:val=&quot;00911425&quot;/&gt;&lt;wsp:rsid wsp:val=&quot;00911AD5&quot;/&gt;&lt;wsp:rsid wsp:val=&quot;00914E34&quot;/&gt;&lt;wsp:rsid wsp:val=&quot;00915E74&quot;/&gt;&lt;wsp:rsid wsp:val=&quot;0091736D&quot;/&gt;&lt;wsp:rsid wsp:val=&quot;00923524&quot;/&gt;&lt;wsp:rsid wsp:val=&quot;00925757&quot;/&gt;&lt;wsp:rsid wsp:val=&quot;00925D95&quot;/&gt;&lt;wsp:rsid wsp:val=&quot;009265F4&quot;/&gt;&lt;wsp:rsid wsp:val=&quot;009269B7&quot;/&gt;&lt;wsp:rsid wsp:val=&quot;0093037A&quot;/&gt;&lt;wsp:rsid wsp:val=&quot;00931A0E&quot;/&gt;&lt;wsp:rsid wsp:val=&quot;00934676&quot;/&gt;&lt;wsp:rsid wsp:val=&quot;0094154D&quot;/&gt;&lt;wsp:rsid wsp:val=&quot;00943FF7&quot;/&gt;&lt;wsp:rsid wsp:val=&quot;009443EA&quot;/&gt;&lt;wsp:rsid wsp:val=&quot;0095155F&quot;/&gt;&lt;wsp:rsid wsp:val=&quot;00951CB2&quot;/&gt;&lt;wsp:rsid wsp:val=&quot;00953A2D&quot;/&gt;&lt;wsp:rsid wsp:val=&quot;00954429&quot;/&gt;&lt;wsp:rsid wsp:val=&quot;00955B65&quot;/&gt;&lt;wsp:rsid wsp:val=&quot;009563CE&quot;/&gt;&lt;wsp:rsid wsp:val=&quot;00963DC1&quot;/&gt;&lt;wsp:rsid wsp:val=&quot;00964285&quot;/&gt;&lt;wsp:rsid wsp:val=&quot;009668F7&quot;/&gt;&lt;wsp:rsid wsp:val=&quot;00966A6A&quot;/&gt;&lt;wsp:rsid wsp:val=&quot;00970C62&quot;/&gt;&lt;wsp:rsid wsp:val=&quot;009728C5&quot;/&gt;&lt;wsp:rsid wsp:val=&quot;00972AC9&quot;/&gt;&lt;wsp:rsid wsp:val=&quot;00973AFF&quot;/&gt;&lt;wsp:rsid wsp:val=&quot;00974974&quot;/&gt;&lt;wsp:rsid wsp:val=&quot;00975832&quot;/&gt;&lt;wsp:rsid wsp:val=&quot;00976328&quot;/&gt;&lt;wsp:rsid wsp:val=&quot;0097680D&quot;/&gt;&lt;wsp:rsid wsp:val=&quot;00976BDB&quot;/&gt;&lt;wsp:rsid wsp:val=&quot;00982438&quot;/&gt;&lt;wsp:rsid wsp:val=&quot;009827AF&quot;/&gt;&lt;wsp:rsid wsp:val=&quot;0098340D&quot;/&gt;&lt;wsp:rsid wsp:val=&quot;00983BF0&quot;/&gt;&lt;wsp:rsid wsp:val=&quot;0098404C&quot;/&gt;&lt;wsp:rsid wsp:val=&quot;00985283&quot;/&gt;&lt;wsp:rsid wsp:val=&quot;0098782A&quot;/&gt;&lt;wsp:rsid wsp:val=&quot;00992059&quot;/&gt;&lt;wsp:rsid wsp:val=&quot;009940AA&quot;/&gt;&lt;wsp:rsid wsp:val=&quot;0099475C&quot;/&gt;&lt;wsp:rsid wsp:val=&quot;00995992&quot;/&gt;&lt;wsp:rsid wsp:val=&quot;009A03E5&quot;/&gt;&lt;wsp:rsid wsp:val=&quot;009A0F3B&quot;/&gt;&lt;wsp:rsid wsp:val=&quot;009A1804&quot;/&gt;&lt;wsp:rsid wsp:val=&quot;009A1BB4&quot;/&gt;&lt;wsp:rsid wsp:val=&quot;009A2628&quot;/&gt;&lt;wsp:rsid wsp:val=&quot;009A2908&quot;/&gt;&lt;wsp:rsid wsp:val=&quot;009A3200&quot;/&gt;&lt;wsp:rsid wsp:val=&quot;009A4DB6&quot;/&gt;&lt;wsp:rsid wsp:val=&quot;009A594A&quot;/&gt;&lt;wsp:rsid wsp:val=&quot;009A5AF1&quot;/&gt;&lt;wsp:rsid wsp:val=&quot;009A609F&quot;/&gt;&lt;wsp:rsid wsp:val=&quot;009A6647&quot;/&gt;&lt;wsp:rsid wsp:val=&quot;009A7203&quot;/&gt;&lt;wsp:rsid wsp:val=&quot;009B00E9&quot;/&gt;&lt;wsp:rsid wsp:val=&quot;009B0897&quot;/&gt;&lt;wsp:rsid wsp:val=&quot;009B5E67&quot;/&gt;&lt;wsp:rsid wsp:val=&quot;009B74C5&quot;/&gt;&lt;wsp:rsid wsp:val=&quot;009B7BD9&quot;/&gt;&lt;wsp:rsid wsp:val=&quot;009B7CD6&quot;/&gt;&lt;wsp:rsid wsp:val=&quot;009C20B1&quot;/&gt;&lt;wsp:rsid wsp:val=&quot;009C4110&quot;/&gt;&lt;wsp:rsid wsp:val=&quot;009C7DD5&quot;/&gt;&lt;wsp:rsid wsp:val=&quot;009D321A&quot;/&gt;&lt;wsp:rsid wsp:val=&quot;009D4397&quot;/&gt;&lt;wsp:rsid wsp:val=&quot;009D748A&quot;/&gt;&lt;wsp:rsid wsp:val=&quot;009E1CC2&quot;/&gt;&lt;wsp:rsid wsp:val=&quot;009E227D&quot;/&gt;&lt;wsp:rsid wsp:val=&quot;009E5019&quot;/&gt;&lt;wsp:rsid wsp:val=&quot;009E6399&quot;/&gt;&lt;wsp:rsid wsp:val=&quot;009F07AC&quot;/&gt;&lt;wsp:rsid wsp:val=&quot;009F0C30&quot;/&gt;&lt;wsp:rsid wsp:val=&quot;009F0D31&quot;/&gt;&lt;wsp:rsid wsp:val=&quot;009F6097&quot;/&gt;&lt;wsp:rsid wsp:val=&quot;009F68BD&quot;/&gt;&lt;wsp:rsid wsp:val=&quot;009F75E6&quot;/&gt;&lt;wsp:rsid wsp:val=&quot;00A03CDD&quot;/&gt;&lt;wsp:rsid wsp:val=&quot;00A04F1B&quot;/&gt;&lt;wsp:rsid wsp:val=&quot;00A0501B&quot;/&gt;&lt;wsp:rsid wsp:val=&quot;00A0528F&quot;/&gt;&lt;wsp:rsid wsp:val=&quot;00A11CE6&quot;/&gt;&lt;wsp:rsid wsp:val=&quot;00A14947&quot;/&gt;&lt;wsp:rsid wsp:val=&quot;00A152D6&quot;/&gt;&lt;wsp:rsid wsp:val=&quot;00A24731&quot;/&gt;&lt;wsp:rsid wsp:val=&quot;00A25AB7&quot;/&gt;&lt;wsp:rsid wsp:val=&quot;00A25C91&quot;/&gt;&lt;wsp:rsid wsp:val=&quot;00A25CD0&quot;/&gt;&lt;wsp:rsid wsp:val=&quot;00A2642C&quot;/&gt;&lt;wsp:rsid wsp:val=&quot;00A32A83&quot;/&gt;&lt;wsp:rsid wsp:val=&quot;00A363AE&quot;/&gt;&lt;wsp:rsid wsp:val=&quot;00A368DB&quot;/&gt;&lt;wsp:rsid wsp:val=&quot;00A40381&quot;/&gt;&lt;wsp:rsid wsp:val=&quot;00A423AA&quot;/&gt;&lt;wsp:rsid wsp:val=&quot;00A432A4&quot;/&gt;&lt;wsp:rsid wsp:val=&quot;00A4458A&quot;/&gt;&lt;wsp:rsid wsp:val=&quot;00A466FB&quot;/&gt;&lt;wsp:rsid wsp:val=&quot;00A47569&quot;/&gt;&lt;wsp:rsid wsp:val=&quot;00A477C1&quot;/&gt;&lt;wsp:rsid wsp:val=&quot;00A534EE&quot;/&gt;&lt;wsp:rsid wsp:val=&quot;00A53EC6&quot;/&gt;&lt;wsp:rsid wsp:val=&quot;00A55C0F&quot;/&gt;&lt;wsp:rsid wsp:val=&quot;00A60045&quot;/&gt;&lt;wsp:rsid wsp:val=&quot;00A60768&quot;/&gt;&lt;wsp:rsid wsp:val=&quot;00A60D83&quot;/&gt;&lt;wsp:rsid wsp:val=&quot;00A62E4A&quot;/&gt;&lt;wsp:rsid wsp:val=&quot;00A64059&quot;/&gt;&lt;wsp:rsid wsp:val=&quot;00A647E2&quot;/&gt;&lt;wsp:rsid wsp:val=&quot;00A660E7&quot;/&gt;&lt;wsp:rsid wsp:val=&quot;00A6622A&quot;/&gt;&lt;wsp:rsid wsp:val=&quot;00A752FD&quot;/&gt;&lt;wsp:rsid wsp:val=&quot;00A766C9&quot;/&gt;&lt;wsp:rsid wsp:val=&quot;00A826CD&quot;/&gt;&lt;wsp:rsid wsp:val=&quot;00A831D6&quot;/&gt;&lt;wsp:rsid wsp:val=&quot;00A8713F&quot;/&gt;&lt;wsp:rsid wsp:val=&quot;00A87F5D&quot;/&gt;&lt;wsp:rsid wsp:val=&quot;00A90BA1&quot;/&gt;&lt;wsp:rsid wsp:val=&quot;00A91BC8&quot;/&gt;&lt;wsp:rsid wsp:val=&quot;00A97A91&quot;/&gt;&lt;wsp:rsid wsp:val=&quot;00A97A9A&quot;/&gt;&lt;wsp:rsid wsp:val=&quot;00AA0671&quot;/&gt;&lt;wsp:rsid wsp:val=&quot;00AA2531&quot;/&gt;&lt;wsp:rsid wsp:val=&quot;00AA2DBD&quot;/&gt;&lt;wsp:rsid wsp:val=&quot;00AA56CD&quot;/&gt;&lt;wsp:rsid wsp:val=&quot;00AB03AD&quot;/&gt;&lt;wsp:rsid wsp:val=&quot;00AB1E09&quot;/&gt;&lt;wsp:rsid wsp:val=&quot;00AB34CA&quot;/&gt;&lt;wsp:rsid wsp:val=&quot;00AB40C3&quot;/&gt;&lt;wsp:rsid wsp:val=&quot;00AB4E1B&quot;/&gt;&lt;wsp:rsid wsp:val=&quot;00AB5330&quot;/&gt;&lt;wsp:rsid wsp:val=&quot;00AB5EC2&quot;/&gt;&lt;wsp:rsid wsp:val=&quot;00AB7271&quot;/&gt;&lt;wsp:rsid wsp:val=&quot;00AB7747&quot;/&gt;&lt;wsp:rsid wsp:val=&quot;00AB7B2E&quot;/&gt;&lt;wsp:rsid wsp:val=&quot;00AC074D&quot;/&gt;&lt;wsp:rsid wsp:val=&quot;00AC14CE&quot;/&gt;&lt;wsp:rsid wsp:val=&quot;00AC2A56&quot;/&gt;&lt;wsp:rsid wsp:val=&quot;00AC4C88&quot;/&gt;&lt;wsp:rsid wsp:val=&quot;00AC6211&quot;/&gt;&lt;wsp:rsid wsp:val=&quot;00AC649F&quot;/&gt;&lt;wsp:rsid wsp:val=&quot;00AD055E&quot;/&gt;&lt;wsp:rsid wsp:val=&quot;00AD3E63&quot;/&gt;&lt;wsp:rsid wsp:val=&quot;00AD47A7&quot;/&gt;&lt;wsp:rsid wsp:val=&quot;00AE7120&quot;/&gt;&lt;wsp:rsid wsp:val=&quot;00AF0CBF&quot;/&gt;&lt;wsp:rsid wsp:val=&quot;00AF1C65&quot;/&gt;&lt;wsp:rsid wsp:val=&quot;00AF1F76&quot;/&gt;&lt;wsp:rsid wsp:val=&quot;00AF257F&quot;/&gt;&lt;wsp:rsid wsp:val=&quot;00AF33CF&quot;/&gt;&lt;wsp:rsid wsp:val=&quot;00AF4D50&quot;/&gt;&lt;wsp:rsid wsp:val=&quot;00AF6179&quot;/&gt;&lt;wsp:rsid wsp:val=&quot;00AF682D&quot;/&gt;&lt;wsp:rsid wsp:val=&quot;00AF77E4&quot;/&gt;&lt;wsp:rsid wsp:val=&quot;00B02D3D&quot;/&gt;&lt;wsp:rsid wsp:val=&quot;00B1295A&quot;/&gt;&lt;wsp:rsid wsp:val=&quot;00B14EE8&quot;/&gt;&lt;wsp:rsid wsp:val=&quot;00B20A45&quot;/&gt;&lt;wsp:rsid wsp:val=&quot;00B21CCB&quot;/&gt;&lt;wsp:rsid wsp:val=&quot;00B22C5C&quot;/&gt;&lt;wsp:rsid wsp:val=&quot;00B23BC0&quot;/&gt;&lt;wsp:rsid wsp:val=&quot;00B24F30&quot;/&gt;&lt;wsp:rsid wsp:val=&quot;00B26845&quot;/&gt;&lt;wsp:rsid wsp:val=&quot;00B3078E&quot;/&gt;&lt;wsp:rsid wsp:val=&quot;00B31469&quot;/&gt;&lt;wsp:rsid wsp:val=&quot;00B31ABF&quot;/&gt;&lt;wsp:rsid wsp:val=&quot;00B32F43&quot;/&gt;&lt;wsp:rsid wsp:val=&quot;00B33BE3&quot;/&gt;&lt;wsp:rsid wsp:val=&quot;00B3792A&quot;/&gt;&lt;wsp:rsid wsp:val=&quot;00B415E2&quot;/&gt;&lt;wsp:rsid wsp:val=&quot;00B50CE7&quot;/&gt;&lt;wsp:rsid wsp:val=&quot;00B5135B&quot;/&gt;&lt;wsp:rsid wsp:val=&quot;00B5393E&quot;/&gt;&lt;wsp:rsid wsp:val=&quot;00B539FB&quot;/&gt;&lt;wsp:rsid wsp:val=&quot;00B53B5D&quot;/&gt;&lt;wsp:rsid wsp:val=&quot;00B5479C&quot;/&gt;&lt;wsp:rsid wsp:val=&quot;00B554B6&quot;/&gt;&lt;wsp:rsid wsp:val=&quot;00B55965&quot;/&gt;&lt;wsp:rsid wsp:val=&quot;00B5683F&quot;/&gt;&lt;wsp:rsid wsp:val=&quot;00B56BAE&quot;/&gt;&lt;wsp:rsid wsp:val=&quot;00B6055E&quot;/&gt;&lt;wsp:rsid wsp:val=&quot;00B60F59&quot;/&gt;&lt;wsp:rsid wsp:val=&quot;00B62DAE&quot;/&gt;&lt;wsp:rsid wsp:val=&quot;00B6317D&quot;/&gt;&lt;wsp:rsid wsp:val=&quot;00B6388A&quot;/&gt;&lt;wsp:rsid wsp:val=&quot;00B64649&quot;/&gt;&lt;wsp:rsid wsp:val=&quot;00B66E34&quot;/&gt;&lt;wsp:rsid wsp:val=&quot;00B72138&quot;/&gt;&lt;wsp:rsid wsp:val=&quot;00B72515&quot;/&gt;&lt;wsp:rsid wsp:val=&quot;00B73083&quot;/&gt;&lt;wsp:rsid wsp:val=&quot;00B744A2&quot;/&gt;&lt;wsp:rsid wsp:val=&quot;00B746D7&quot;/&gt;&lt;wsp:rsid wsp:val=&quot;00B76030&quot;/&gt;&lt;wsp:rsid wsp:val=&quot;00B7723F&quot;/&gt;&lt;wsp:rsid wsp:val=&quot;00B77DF0&quot;/&gt;&lt;wsp:rsid wsp:val=&quot;00B77E96&quot;/&gt;&lt;wsp:rsid wsp:val=&quot;00B80534&quot;/&gt;&lt;wsp:rsid wsp:val=&quot;00B807F0&quot;/&gt;&lt;wsp:rsid wsp:val=&quot;00B808FE&quot;/&gt;&lt;wsp:rsid wsp:val=&quot;00B8115D&quot;/&gt;&lt;wsp:rsid wsp:val=&quot;00B821C3&quot;/&gt;&lt;wsp:rsid wsp:val=&quot;00B8433C&quot;/&gt;&lt;wsp:rsid wsp:val=&quot;00B87491&quot;/&gt;&lt;wsp:rsid wsp:val=&quot;00B90167&quot;/&gt;&lt;wsp:rsid wsp:val=&quot;00B941CB&quot;/&gt;&lt;wsp:rsid wsp:val=&quot;00BA29E9&quot;/&gt;&lt;wsp:rsid wsp:val=&quot;00BA5936&quot;/&gt;&lt;wsp:rsid wsp:val=&quot;00BA7142&quot;/&gt;&lt;wsp:rsid wsp:val=&quot;00BB157F&quot;/&gt;&lt;wsp:rsid wsp:val=&quot;00BB237C&quot;/&gt;&lt;wsp:rsid wsp:val=&quot;00BB3FFE&quot;/&gt;&lt;wsp:rsid wsp:val=&quot;00BB41A3&quot;/&gt;&lt;wsp:rsid wsp:val=&quot;00BB4F01&quot;/&gt;&lt;wsp:rsid wsp:val=&quot;00BC157F&quot;/&gt;&lt;wsp:rsid wsp:val=&quot;00BC32DC&quot;/&gt;&lt;wsp:rsid wsp:val=&quot;00BC35B6&quot;/&gt;&lt;wsp:rsid wsp:val=&quot;00BC43A6&quot;/&gt;&lt;wsp:rsid wsp:val=&quot;00BC447F&quot;/&gt;&lt;wsp:rsid wsp:val=&quot;00BC4570&quot;/&gt;&lt;wsp:rsid wsp:val=&quot;00BC4E43&quot;/&gt;&lt;wsp:rsid wsp:val=&quot;00BD03C0&quot;/&gt;&lt;wsp:rsid wsp:val=&quot;00BD0774&quot;/&gt;&lt;wsp:rsid wsp:val=&quot;00BD1B51&quot;/&gt;&lt;wsp:rsid wsp:val=&quot;00BD238E&quot;/&gt;&lt;wsp:rsid wsp:val=&quot;00BD4596&quot;/&gt;&lt;wsp:rsid wsp:val=&quot;00BD4CD6&quot;/&gt;&lt;wsp:rsid wsp:val=&quot;00BE0135&quot;/&gt;&lt;wsp:rsid wsp:val=&quot;00BE0E4E&quot;/&gt;&lt;wsp:rsid wsp:val=&quot;00BE1405&quot;/&gt;&lt;wsp:rsid wsp:val=&quot;00BE312D&quot;/&gt;&lt;wsp:rsid wsp:val=&quot;00BE44D6&quot;/&gt;&lt;wsp:rsid wsp:val=&quot;00BE695A&quot;/&gt;&lt;wsp:rsid wsp:val=&quot;00BF0686&quot;/&gt;&lt;wsp:rsid wsp:val=&quot;00BF1C20&quot;/&gt;&lt;wsp:rsid wsp:val=&quot;00BF5AA4&quot;/&gt;&lt;wsp:rsid wsp:val=&quot;00BF5BBE&quot;/&gt;&lt;wsp:rsid wsp:val=&quot;00BF6534&quot;/&gt;&lt;wsp:rsid wsp:val=&quot;00BF6ACC&quot;/&gt;&lt;wsp:rsid wsp:val=&quot;00BF72F2&quot;/&gt;&lt;wsp:rsid wsp:val=&quot;00C10578&quot;/&gt;&lt;wsp:rsid wsp:val=&quot;00C135BC&quot;/&gt;&lt;wsp:rsid wsp:val=&quot;00C15C95&quot;/&gt;&lt;wsp:rsid wsp:val=&quot;00C21085&quot;/&gt;&lt;wsp:rsid wsp:val=&quot;00C2276E&quot;/&gt;&lt;wsp:rsid wsp:val=&quot;00C23EE6&quot;/&gt;&lt;wsp:rsid wsp:val=&quot;00C2596A&quot;/&gt;&lt;wsp:rsid wsp:val=&quot;00C27537&quot;/&gt;&lt;wsp:rsid wsp:val=&quot;00C328FE&quot;/&gt;&lt;wsp:rsid wsp:val=&quot;00C33507&quot;/&gt;&lt;wsp:rsid wsp:val=&quot;00C34BD9&quot;/&gt;&lt;wsp:rsid wsp:val=&quot;00C3542B&quot;/&gt;&lt;wsp:rsid wsp:val=&quot;00C4185E&quot;/&gt;&lt;wsp:rsid wsp:val=&quot;00C4409D&quot;/&gt;&lt;wsp:rsid wsp:val=&quot;00C44E72&quot;/&gt;&lt;wsp:rsid wsp:val=&quot;00C45A06&quot;/&gt;&lt;wsp:rsid wsp:val=&quot;00C47E5B&quot;/&gt;&lt;wsp:rsid wsp:val=&quot;00C50584&quot;/&gt;&lt;wsp:rsid wsp:val=&quot;00C53B0A&quot;/&gt;&lt;wsp:rsid wsp:val=&quot;00C54AE7&quot;/&gt;&lt;wsp:rsid wsp:val=&quot;00C56E24&quot;/&gt;&lt;wsp:rsid wsp:val=&quot;00C570C1&quot;/&gt;&lt;wsp:rsid wsp:val=&quot;00C61E4B&quot;/&gt;&lt;wsp:rsid wsp:val=&quot;00C62D0F&quot;/&gt;&lt;wsp:rsid wsp:val=&quot;00C64BFF&quot;/&gt;&lt;wsp:rsid wsp:val=&quot;00C66E79&quot;/&gt;&lt;wsp:rsid wsp:val=&quot;00C6706D&quot;/&gt;&lt;wsp:rsid wsp:val=&quot;00C704E9&quot;/&gt;&lt;wsp:rsid wsp:val=&quot;00C75896&quot;/&gt;&lt;wsp:rsid wsp:val=&quot;00C75B5B&quot;/&gt;&lt;wsp:rsid wsp:val=&quot;00C763C9&quot;/&gt;&lt;wsp:rsid wsp:val=&quot;00C764EA&quot;/&gt;&lt;wsp:rsid wsp:val=&quot;00C80057&quot;/&gt;&lt;wsp:rsid wsp:val=&quot;00C82203&quot;/&gt;&lt;wsp:rsid wsp:val=&quot;00C82232&quot;/&gt;&lt;wsp:rsid wsp:val=&quot;00C82913&quot;/&gt;&lt;wsp:rsid wsp:val=&quot;00C8308E&quot;/&gt;&lt;wsp:rsid wsp:val=&quot;00C905B8&quot;/&gt;&lt;wsp:rsid wsp:val=&quot;00C94307&quot;/&gt;&lt;wsp:rsid wsp:val=&quot;00C972B1&quot;/&gt;&lt;wsp:rsid wsp:val=&quot;00CA0F46&quot;/&gt;&lt;wsp:rsid wsp:val=&quot;00CA2CCE&quot;/&gt;&lt;wsp:rsid wsp:val=&quot;00CA43FD&quot;/&gt;&lt;wsp:rsid wsp:val=&quot;00CA4D30&quot;/&gt;&lt;wsp:rsid wsp:val=&quot;00CA5F79&quot;/&gt;&lt;wsp:rsid wsp:val=&quot;00CA7EF8&quot;/&gt;&lt;wsp:rsid wsp:val=&quot;00CB3792&quot;/&gt;&lt;wsp:rsid wsp:val=&quot;00CB7679&quot;/&gt;&lt;wsp:rsid wsp:val=&quot;00CC489B&quot;/&gt;&lt;wsp:rsid wsp:val=&quot;00CD2BCD&quot;/&gt;&lt;wsp:rsid wsp:val=&quot;00CD3A4C&quot;/&gt;&lt;wsp:rsid wsp:val=&quot;00CD55B3&quot;/&gt;&lt;wsp:rsid wsp:val=&quot;00CD7F2A&quot;/&gt;&lt;wsp:rsid wsp:val=&quot;00CE10E9&quot;/&gt;&lt;wsp:rsid wsp:val=&quot;00CE1C37&quot;/&gt;&lt;wsp:rsid wsp:val=&quot;00CE2910&quot;/&gt;&lt;wsp:rsid wsp:val=&quot;00CE3BDC&quot;/&gt;&lt;wsp:rsid wsp:val=&quot;00CE5393&quot;/&gt;&lt;wsp:rsid wsp:val=&quot;00CF36BE&quot;/&gt;&lt;wsp:rsid wsp:val=&quot;00CF4C1C&quot;/&gt;&lt;wsp:rsid wsp:val=&quot;00CF6000&quot;/&gt;&lt;wsp:rsid wsp:val=&quot;00CF77C7&quot;/&gt;&lt;wsp:rsid wsp:val=&quot;00D003F3&quot;/&gt;&lt;wsp:rsid wsp:val=&quot;00D0105E&quot;/&gt;&lt;wsp:rsid wsp:val=&quot;00D030C4&quot;/&gt;&lt;wsp:rsid wsp:val=&quot;00D0364F&quot;/&gt;&lt;wsp:rsid wsp:val=&quot;00D041B3&quot;/&gt;&lt;wsp:rsid wsp:val=&quot;00D06834&quot;/&gt;&lt;wsp:rsid wsp:val=&quot;00D11489&quot;/&gt;&lt;wsp:rsid wsp:val=&quot;00D13021&quot;/&gt;&lt;wsp:rsid wsp:val=&quot;00D14034&quot;/&gt;&lt;wsp:rsid wsp:val=&quot;00D1411C&quot;/&gt;&lt;wsp:rsid wsp:val=&quot;00D149A7&quot;/&gt;&lt;wsp:rsid wsp:val=&quot;00D15D5D&quot;/&gt;&lt;wsp:rsid wsp:val=&quot;00D236DF&quot;/&gt;&lt;wsp:rsid wsp:val=&quot;00D24D74&quot;/&gt;&lt;wsp:rsid wsp:val=&quot;00D308ED&quot;/&gt;&lt;wsp:rsid wsp:val=&quot;00D31D74&quot;/&gt;&lt;wsp:rsid wsp:val=&quot;00D31EFA&quot;/&gt;&lt;wsp:rsid wsp:val=&quot;00D34006&quot;/&gt;&lt;wsp:rsid wsp:val=&quot;00D3623C&quot;/&gt;&lt;wsp:rsid wsp:val=&quot;00D36D86&quot;/&gt;&lt;wsp:rsid wsp:val=&quot;00D4090D&quot;/&gt;&lt;wsp:rsid wsp:val=&quot;00D428AA&quot;/&gt;&lt;wsp:rsid wsp:val=&quot;00D46809&quot;/&gt;&lt;wsp:rsid wsp:val=&quot;00D46E8A&quot;/&gt;&lt;wsp:rsid wsp:val=&quot;00D508CA&quot;/&gt;&lt;wsp:rsid wsp:val=&quot;00D50A34&quot;/&gt;&lt;wsp:rsid wsp:val=&quot;00D53EFA&quot;/&gt;&lt;wsp:rsid wsp:val=&quot;00D56C5C&quot;/&gt;&lt;wsp:rsid wsp:val=&quot;00D6354C&quot;/&gt;&lt;wsp:rsid wsp:val=&quot;00D647F7&quot;/&gt;&lt;wsp:rsid wsp:val=&quot;00D65864&quot;/&gt;&lt;wsp:rsid wsp:val=&quot;00D669C5&quot;/&gt;&lt;wsp:rsid wsp:val=&quot;00D70CC7&quot;/&gt;&lt;wsp:rsid wsp:val=&quot;00D7405F&quot;/&gt;&lt;wsp:rsid wsp:val=&quot;00D760BE&quot;/&gt;&lt;wsp:rsid wsp:val=&quot;00D80141&quot;/&gt;&lt;wsp:rsid wsp:val=&quot;00D858AE&quot;/&gt;&lt;wsp:rsid wsp:val=&quot;00D85B52&quot;/&gt;&lt;wsp:rsid wsp:val=&quot;00D94A7C&quot;/&gt;&lt;wsp:rsid wsp:val=&quot;00D95896&quot;/&gt;&lt;wsp:rsid wsp:val=&quot;00DA2A8A&quot;/&gt;&lt;wsp:rsid wsp:val=&quot;00DA3BD2&quot;/&gt;&lt;wsp:rsid wsp:val=&quot;00DA5131&quot;/&gt;&lt;wsp:rsid wsp:val=&quot;00DB2983&quot;/&gt;&lt;wsp:rsid wsp:val=&quot;00DB31A8&quot;/&gt;&lt;wsp:rsid wsp:val=&quot;00DC0CAC&quot;/&gt;&lt;wsp:rsid wsp:val=&quot;00DC1257&quot;/&gt;&lt;wsp:rsid wsp:val=&quot;00DC3DC0&quot;/&gt;&lt;wsp:rsid wsp:val=&quot;00DC5B2B&quot;/&gt;&lt;wsp:rsid wsp:val=&quot;00DD318D&quot;/&gt;&lt;wsp:rsid wsp:val=&quot;00DD465F&quot;/&gt;&lt;wsp:rsid wsp:val=&quot;00DD7D79&quot;/&gt;&lt;wsp:rsid wsp:val=&quot;00DE2252&quot;/&gt;&lt;wsp:rsid wsp:val=&quot;00DE3532&quot;/&gt;&lt;wsp:rsid wsp:val=&quot;00DE3F18&quot;/&gt;&lt;wsp:rsid wsp:val=&quot;00DE43DF&quot;/&gt;&lt;wsp:rsid wsp:val=&quot;00DE4B28&quot;/&gt;&lt;wsp:rsid wsp:val=&quot;00DE5E85&quot;/&gt;&lt;wsp:rsid wsp:val=&quot;00DE658A&quot;/&gt;&lt;wsp:rsid wsp:val=&quot;00DF1F4B&quot;/&gt;&lt;wsp:rsid wsp:val=&quot;00DF2E12&quot;/&gt;&lt;wsp:rsid wsp:val=&quot;00DF514A&quot;/&gt;&lt;wsp:rsid wsp:val=&quot;00DF5A7B&quot;/&gt;&lt;wsp:rsid wsp:val=&quot;00DF643A&quot;/&gt;&lt;wsp:rsid wsp:val=&quot;00DF6690&quot;/&gt;&lt;wsp:rsid wsp:val=&quot;00DF6804&quot;/&gt;&lt;wsp:rsid wsp:val=&quot;00E02A4B&quot;/&gt;&lt;wsp:rsid wsp:val=&quot;00E031D0&quot;/&gt;&lt;wsp:rsid wsp:val=&quot;00E0358D&quot;/&gt;&lt;wsp:rsid wsp:val=&quot;00E04323&quot;/&gt;&lt;wsp:rsid wsp:val=&quot;00E04B50&quot;/&gt;&lt;wsp:rsid wsp:val=&quot;00E05D23&quot;/&gt;&lt;wsp:rsid wsp:val=&quot;00E070A2&quot;/&gt;&lt;wsp:rsid wsp:val=&quot;00E07442&quot;/&gt;&lt;wsp:rsid wsp:val=&quot;00E0792C&quot;/&gt;&lt;wsp:rsid wsp:val=&quot;00E21A2A&quot;/&gt;&lt;wsp:rsid wsp:val=&quot;00E22785&quot;/&gt;&lt;wsp:rsid wsp:val=&quot;00E231EC&quot;/&gt;&lt;wsp:rsid wsp:val=&quot;00E2514D&quot;/&gt;&lt;wsp:rsid wsp:val=&quot;00E2561E&quot;/&gt;&lt;wsp:rsid wsp:val=&quot;00E262A6&quot;/&gt;&lt;wsp:rsid wsp:val=&quot;00E2656A&quot;/&gt;&lt;wsp:rsid wsp:val=&quot;00E27165&quot;/&gt;&lt;wsp:rsid wsp:val=&quot;00E27903&quot;/&gt;&lt;wsp:rsid wsp:val=&quot;00E30A67&quot;/&gt;&lt;wsp:rsid wsp:val=&quot;00E31FD2&quot;/&gt;&lt;wsp:rsid wsp:val=&quot;00E345D4&quot;/&gt;&lt;wsp:rsid wsp:val=&quot;00E34F30&quot;/&gt;&lt;wsp:rsid wsp:val=&quot;00E35B6B&quot;/&gt;&lt;wsp:rsid wsp:val=&quot;00E36EE1&quot;/&gt;&lt;wsp:rsid wsp:val=&quot;00E40594&quot;/&gt;&lt;wsp:rsid wsp:val=&quot;00E412D0&quot;/&gt;&lt;wsp:rsid wsp:val=&quot;00E46233&quot;/&gt;&lt;wsp:rsid wsp:val=&quot;00E50F6D&quot;/&gt;&lt;wsp:rsid wsp:val=&quot;00E55F57&quot;/&gt;&lt;wsp:rsid wsp:val=&quot;00E56322&quot;/&gt;&lt;wsp:rsid wsp:val=&quot;00E566CD&quot;/&gt;&lt;wsp:rsid wsp:val=&quot;00E60193&quot;/&gt;&lt;wsp:rsid wsp:val=&quot;00E60982&quot;/&gt;&lt;wsp:rsid wsp:val=&quot;00E61311&quot;/&gt;&lt;wsp:rsid wsp:val=&quot;00E62A48&quot;/&gt;&lt;wsp:rsid wsp:val=&quot;00E62C62&quot;/&gt;&lt;wsp:rsid wsp:val=&quot;00E644F1&quot;/&gt;&lt;wsp:rsid wsp:val=&quot;00E646C6&quot;/&gt;&lt;wsp:rsid wsp:val=&quot;00E654C1&quot;/&gt;&lt;wsp:rsid wsp:val=&quot;00E65D97&quot;/&gt;&lt;wsp:rsid wsp:val=&quot;00E66A25&quot;/&gt;&lt;wsp:rsid wsp:val=&quot;00E70071&quot;/&gt;&lt;wsp:rsid wsp:val=&quot;00E7147E&quot;/&gt;&lt;wsp:rsid wsp:val=&quot;00E72A5A&quot;/&gt;&lt;wsp:rsid wsp:val=&quot;00E73354&quot;/&gt;&lt;wsp:rsid wsp:val=&quot;00E766E3&quot;/&gt;&lt;wsp:rsid wsp:val=&quot;00E83230&quot;/&gt;&lt;wsp:rsid wsp:val=&quot;00E843F7&quot;/&gt;&lt;wsp:rsid wsp:val=&quot;00E87B3F&quot;/&gt;&lt;wsp:rsid wsp:val=&quot;00E914A0&quot;/&gt;&lt;wsp:rsid wsp:val=&quot;00E9242D&quot;/&gt;&lt;wsp:rsid wsp:val=&quot;00E972A1&quot;/&gt;&lt;wsp:rsid wsp:val=&quot;00EA00E0&quot;/&gt;&lt;wsp:rsid wsp:val=&quot;00EA0209&quot;/&gt;&lt;wsp:rsid wsp:val=&quot;00EB4EAD&quot;/&gt;&lt;wsp:rsid wsp:val=&quot;00EB5255&quot;/&gt;&lt;wsp:rsid wsp:val=&quot;00EB5C47&quot;/&gt;&lt;wsp:rsid wsp:val=&quot;00EC02CF&quot;/&gt;&lt;wsp:rsid wsp:val=&quot;00EC6CFD&quot;/&gt;&lt;wsp:rsid wsp:val=&quot;00ED0639&quot;/&gt;&lt;wsp:rsid wsp:val=&quot;00ED0BAE&quot;/&gt;&lt;wsp:rsid wsp:val=&quot;00ED41B1&quot;/&gt;&lt;wsp:rsid wsp:val=&quot;00EE3F01&quot;/&gt;&lt;wsp:rsid wsp:val=&quot;00EE4923&quot;/&gt;&lt;wsp:rsid wsp:val=&quot;00EF1793&quot;/&gt;&lt;wsp:rsid wsp:val=&quot;00EF4755&quot;/&gt;&lt;wsp:rsid wsp:val=&quot;00EF7135&quot;/&gt;&lt;wsp:rsid wsp:val=&quot;00F02438&quot;/&gt;&lt;wsp:rsid wsp:val=&quot;00F027DB&quot;/&gt;&lt;wsp:rsid wsp:val=&quot;00F02B7E&quot;/&gt;&lt;wsp:rsid wsp:val=&quot;00F037B7&quot;/&gt;&lt;wsp:rsid wsp:val=&quot;00F05A74&quot;/&gt;&lt;wsp:rsid wsp:val=&quot;00F05A86&quot;/&gt;&lt;wsp:rsid wsp:val=&quot;00F107DA&quot;/&gt;&lt;wsp:rsid wsp:val=&quot;00F10BDC&quot;/&gt;&lt;wsp:rsid wsp:val=&quot;00F11230&quot;/&gt;&lt;wsp:rsid wsp:val=&quot;00F12294&quot;/&gt;&lt;wsp:rsid wsp:val=&quot;00F14778&quot;/&gt;&lt;wsp:rsid wsp:val=&quot;00F14A7A&quot;/&gt;&lt;wsp:rsid wsp:val=&quot;00F160E0&quot;/&gt;&lt;wsp:rsid wsp:val=&quot;00F16CEE&quot;/&gt;&lt;wsp:rsid wsp:val=&quot;00F176C6&quot;/&gt;&lt;wsp:rsid wsp:val=&quot;00F21F75&quot;/&gt;&lt;wsp:rsid wsp:val=&quot;00F2254B&quot;/&gt;&lt;wsp:rsid wsp:val=&quot;00F22985&quot;/&gt;&lt;wsp:rsid wsp:val=&quot;00F24760&quot;/&gt;&lt;wsp:rsid wsp:val=&quot;00F2663F&quot;/&gt;&lt;wsp:rsid wsp:val=&quot;00F26662&quot;/&gt;&lt;wsp:rsid wsp:val=&quot;00F277FF&quot;/&gt;&lt;wsp:rsid wsp:val=&quot;00F30194&quot;/&gt;&lt;wsp:rsid wsp:val=&quot;00F30329&quot;/&gt;&lt;wsp:rsid wsp:val=&quot;00F30FD9&quot;/&gt;&lt;wsp:rsid wsp:val=&quot;00F32324&quot;/&gt;&lt;wsp:rsid wsp:val=&quot;00F33172&quot;/&gt;&lt;wsp:rsid wsp:val=&quot;00F3383E&quot;/&gt;&lt;wsp:rsid wsp:val=&quot;00F409BC&quot;/&gt;&lt;wsp:rsid wsp:val=&quot;00F44A78&quot;/&gt;&lt;wsp:rsid wsp:val=&quot;00F465A7&quot;/&gt;&lt;wsp:rsid wsp:val=&quot;00F50B7C&quot;/&gt;&lt;wsp:rsid wsp:val=&quot;00F51F3B&quot;/&gt;&lt;wsp:rsid wsp:val=&quot;00F526F8&quot;/&gt;&lt;wsp:rsid wsp:val=&quot;00F532C2&quot;/&gt;&lt;wsp:rsid wsp:val=&quot;00F550E6&quot;/&gt;&lt;wsp:rsid wsp:val=&quot;00F604F6&quot;/&gt;&lt;wsp:rsid wsp:val=&quot;00F66E2A&quot;/&gt;&lt;wsp:rsid wsp:val=&quot;00F66F48&quot;/&gt;&lt;wsp:rsid wsp:val=&quot;00F726A9&quot;/&gt;&lt;wsp:rsid wsp:val=&quot;00F734EB&quot;/&gt;&lt;wsp:rsid wsp:val=&quot;00F74345&quot;/&gt;&lt;wsp:rsid wsp:val=&quot;00F74CC6&quot;/&gt;&lt;wsp:rsid wsp:val=&quot;00F775FB&quot;/&gt;&lt;wsp:rsid wsp:val=&quot;00F77F00&quot;/&gt;&lt;wsp:rsid wsp:val=&quot;00F80A0A&quot;/&gt;&lt;wsp:rsid wsp:val=&quot;00F81D98&quot;/&gt;&lt;wsp:rsid wsp:val=&quot;00F8234E&quot;/&gt;&lt;wsp:rsid wsp:val=&quot;00F82B19&quot;/&gt;&lt;wsp:rsid wsp:val=&quot;00F83293&quot;/&gt;&lt;wsp:rsid wsp:val=&quot;00F841E8&quot;/&gt;&lt;wsp:rsid wsp:val=&quot;00F84523&quot;/&gt;&lt;wsp:rsid wsp:val=&quot;00F84C02&quot;/&gt;&lt;wsp:rsid wsp:val=&quot;00F857D8&quot;/&gt;&lt;wsp:rsid wsp:val=&quot;00F86F8A&quot;/&gt;&lt;wsp:rsid wsp:val=&quot;00F903B7&quot;/&gt;&lt;wsp:rsid wsp:val=&quot;00F906F5&quot;/&gt;&lt;wsp:rsid wsp:val=&quot;00F9212D&quot;/&gt;&lt;wsp:rsid wsp:val=&quot;00F9375C&quot;/&gt;&lt;wsp:rsid wsp:val=&quot;00F93761&quot;/&gt;&lt;wsp:rsid wsp:val=&quot;00F941D3&quot;/&gt;&lt;wsp:rsid wsp:val=&quot;00F94443&quot;/&gt;&lt;wsp:rsid wsp:val=&quot;00F94DE7&quot;/&gt;&lt;wsp:rsid wsp:val=&quot;00F965DA&quot;/&gt;&lt;wsp:rsid wsp:val=&quot;00F975D3&quot;/&gt;&lt;wsp:rsid wsp:val=&quot;00F97F5F&quot;/&gt;&lt;wsp:rsid wsp:val=&quot;00FA0AC7&quot;/&gt;&lt;wsp:rsid wsp:val=&quot;00FA0DA8&quot;/&gt;&lt;wsp:rsid wsp:val=&quot;00FA3FD3&quot;/&gt;&lt;wsp:rsid wsp:val=&quot;00FA406A&quot;/&gt;&lt;wsp:rsid wsp:val=&quot;00FA43D4&quot;/&gt;&lt;wsp:rsid wsp:val=&quot;00FA4839&quot;/&gt;&lt;wsp:rsid wsp:val=&quot;00FA7525&quot;/&gt;&lt;wsp:rsid wsp:val=&quot;00FB0FA5&quot;/&gt;&lt;wsp:rsid wsp:val=&quot;00FB1683&quot;/&gt;&lt;wsp:rsid wsp:val=&quot;00FB503A&quot;/&gt;&lt;wsp:rsid wsp:val=&quot;00FB516C&quot;/&gt;&lt;wsp:rsid wsp:val=&quot;00FB5964&quot;/&gt;&lt;wsp:rsid wsp:val=&quot;00FB660C&quot;/&gt;&lt;wsp:rsid wsp:val=&quot;00FC3C6A&quot;/&gt;&lt;wsp:rsid wsp:val=&quot;00FC55BC&quot;/&gt;&lt;wsp:rsid wsp:val=&quot;00FC575C&quot;/&gt;&lt;wsp:rsid wsp:val=&quot;00FD0236&quot;/&gt;&lt;wsp:rsid wsp:val=&quot;00FD18F4&quot;/&gt;&lt;wsp:rsid wsp:val=&quot;00FD1D2F&quot;/&gt;&lt;wsp:rsid wsp:val=&quot;00FD2337&quot;/&gt;&lt;wsp:rsid wsp:val=&quot;00FD54DB&quot;/&gt;&lt;wsp:rsid wsp:val=&quot;00FD619F&quot;/&gt;&lt;wsp:rsid wsp:val=&quot;00FE16A3&quot;/&gt;&lt;wsp:rsid wsp:val=&quot;00FE19DC&quot;/&gt;&lt;wsp:rsid wsp:val=&quot;00FE2048&quot;/&gt;&lt;wsp:rsid wsp:val=&quot;00FE5838&quot;/&gt;&lt;wsp:rsid wsp:val=&quot;00FE7412&quot;/&gt;&lt;wsp:rsid wsp:val=&quot;00FF0E21&quot;/&gt;&lt;wsp:rsid wsp:val=&quot;00FF45D0&quot;/&gt;&lt;wsp:rsid wsp:val=&quot;01290F7E&quot;/&gt;&lt;wsp:rsid wsp:val=&quot;015D1E09&quot;/&gt;&lt;wsp:rsid wsp:val=&quot;01753746&quot;/&gt;&lt;wsp:rsid wsp:val=&quot;01886C6F&quot;/&gt;&lt;wsp:rsid wsp:val=&quot;018C7910&quot;/&gt;&lt;wsp:rsid wsp:val=&quot;019F3B30&quot;/&gt;&lt;wsp:rsid wsp:val=&quot;01AD0A5B&quot;/&gt;&lt;wsp:rsid wsp:val=&quot;021F7F58&quot;/&gt;&lt;wsp:rsid wsp:val=&quot;022E3AC6&quot;/&gt;&lt;wsp:rsid wsp:val=&quot;02534ED4&quot;/&gt;&lt;wsp:rsid wsp:val=&quot;02697903&quot;/&gt;&lt;wsp:rsid wsp:val=&quot;02821A69&quot;/&gt;&lt;wsp:rsid wsp:val=&quot;02EE51B0&quot;/&gt;&lt;wsp:rsid wsp:val=&quot;02F96569&quot;/&gt;&lt;wsp:rsid wsp:val=&quot;03723129&quot;/&gt;&lt;wsp:rsid wsp:val=&quot;03DA6CFE&quot;/&gt;&lt;wsp:rsid wsp:val=&quot;03EA7B21&quot;/&gt;&lt;wsp:rsid wsp:val=&quot;040354C1&quot;/&gt;&lt;wsp:rsid wsp:val=&quot;047C3C16&quot;/&gt;&lt;wsp:rsid wsp:val=&quot;0496791B&quot;/&gt;&lt;wsp:rsid wsp:val=&quot;04E349EC&quot;/&gt;&lt;wsp:rsid wsp:val=&quot;05361690&quot;/&gt;&lt;wsp:rsid wsp:val=&quot;054E7B36&quot;/&gt;&lt;wsp:rsid wsp:val=&quot;058D172D&quot;/&gt;&lt;wsp:rsid wsp:val=&quot;05F83EAE&quot;/&gt;&lt;wsp:rsid wsp:val=&quot;06253F47&quot;/&gt;&lt;wsp:rsid wsp:val=&quot;063E7D85&quot;/&gt;&lt;wsp:rsid wsp:val=&quot;06AF5C5B&quot;/&gt;&lt;wsp:rsid wsp:val=&quot;06C17066&quot;/&gt;&lt;wsp:rsid wsp:val=&quot;06D465A1&quot;/&gt;&lt;wsp:rsid wsp:val=&quot;07293586&quot;/&gt;&lt;wsp:rsid wsp:val=&quot;07295285&quot;/&gt;&lt;wsp:rsid wsp:val=&quot;07636392&quot;/&gt;&lt;wsp:rsid wsp:val=&quot;076E21B0&quot;/&gt;&lt;wsp:rsid wsp:val=&quot;0775167C&quot;/&gt;&lt;wsp:rsid wsp:val=&quot;07770C56&quot;/&gt;&lt;wsp:rsid wsp:val=&quot;07852DBD&quot;/&gt;&lt;wsp:rsid wsp:val=&quot;07CD6AF7&quot;/&gt;&lt;wsp:rsid wsp:val=&quot;07CF4038&quot;/&gt;&lt;wsp:rsid wsp:val=&quot;07EF54F7&quot;/&gt;&lt;wsp:rsid wsp:val=&quot;08391C14&quot;/&gt;&lt;wsp:rsid wsp:val=&quot;086929F5&quot;/&gt;&lt;wsp:rsid wsp:val=&quot;087C05B2&quot;/&gt;&lt;wsp:rsid wsp:val=&quot;0882554E&quot;/&gt;&lt;wsp:rsid wsp:val=&quot;089E66F4&quot;/&gt;&lt;wsp:rsid wsp:val=&quot;08DA60EF&quot;/&gt;&lt;wsp:rsid wsp:val=&quot;0909481F&quot;/&gt;&lt;wsp:rsid wsp:val=&quot;092217DD&quot;/&gt;&lt;wsp:rsid wsp:val=&quot;093A7294&quot;/&gt;&lt;wsp:rsid wsp:val=&quot;09491BC8&quot;/&gt;&lt;wsp:rsid wsp:val=&quot;096E1B78&quot;/&gt;&lt;wsp:rsid wsp:val=&quot;098B2E89&quot;/&gt;&lt;wsp:rsid wsp:val=&quot;09A247B3&quot;/&gt;&lt;wsp:rsid wsp:val=&quot;09A32B0F&quot;/&gt;&lt;wsp:rsid wsp:val=&quot;09BB5D90&quot;/&gt;&lt;wsp:rsid wsp:val=&quot;0A0D622F&quot;/&gt;&lt;wsp:rsid wsp:val=&quot;0A263993&quot;/&gt;&lt;wsp:rsid wsp:val=&quot;0A265078&quot;/&gt;&lt;wsp:rsid wsp:val=&quot;0A2D3AC2&quot;/&gt;&lt;wsp:rsid wsp:val=&quot;0A710725&quot;/&gt;&lt;wsp:rsid wsp:val=&quot;0A825EE0&quot;/&gt;&lt;wsp:rsid wsp:val=&quot;0AA755DF&quot;/&gt;&lt;wsp:rsid wsp:val=&quot;0AAC68B2&quot;/&gt;&lt;wsp:rsid wsp:val=&quot;0ADE47DF&quot;/&gt;&lt;wsp:rsid wsp:val=&quot;0B120D44&quot;/&gt;&lt;wsp:rsid wsp:val=&quot;0B415BEC&quot;/&gt;&lt;wsp:rsid wsp:val=&quot;0B567948&quot;/&gt;&lt;wsp:rsid wsp:val=&quot;0BA11E4E&quot;/&gt;&lt;wsp:rsid wsp:val=&quot;0BD27BF6&quot;/&gt;&lt;wsp:rsid wsp:val=&quot;0C1C357A&quot;/&gt;&lt;wsp:rsid wsp:val=&quot;0C30382F&quot;/&gt;&lt;wsp:rsid wsp:val=&quot;0C3B3C7D&quot;/&gt;&lt;wsp:rsid wsp:val=&quot;0C6E44FE&quot;/&gt;&lt;wsp:rsid wsp:val=&quot;0C7D1185&quot;/&gt;&lt;wsp:rsid wsp:val=&quot;0CA453B9&quot;/&gt;&lt;wsp:rsid wsp:val=&quot;0CAB2EAE&quot;/&gt;&lt;wsp:rsid wsp:val=&quot;0CE827FC&quot;/&gt;&lt;wsp:rsid wsp:val=&quot;0CEB16C8&quot;/&gt;&lt;wsp:rsid wsp:val=&quot;0CEE165D&quot;/&gt;&lt;wsp:rsid wsp:val=&quot;0D3130BF&quot;/&gt;&lt;wsp:rsid wsp:val=&quot;0D621C7D&quot;/&gt;&lt;wsp:rsid wsp:val=&quot;0D8C3822&quot;/&gt;&lt;wsp:rsid wsp:val=&quot;0E2660EF&quot;/&gt;&lt;wsp:rsid wsp:val=&quot;0E5928AD&quot;/&gt;&lt;wsp:rsid wsp:val=&quot;0E6B438E&quot;/&gt;&lt;wsp:rsid wsp:val=&quot;0E715598&quot;/&gt;&lt;wsp:rsid wsp:val=&quot;0E73034D&quot;/&gt;&lt;wsp:rsid wsp:val=&quot;0EEB72F3&quot;/&gt;&lt;wsp:rsid wsp:val=&quot;0EED500D&quot;/&gt;&lt;wsp:rsid wsp:val=&quot;0EF425D6&quot;/&gt;&lt;wsp:rsid wsp:val=&quot;0F13775A&quot;/&gt;&lt;wsp:rsid wsp:val=&quot;0F1F5E30&quot;/&gt;&lt;wsp:rsid wsp:val=&quot;0F5F45FE&quot;/&gt;&lt;wsp:rsid wsp:val=&quot;0F9A112B&quot;/&gt;&lt;wsp:rsid wsp:val=&quot;100250BF&quot;/&gt;&lt;wsp:rsid wsp:val=&quot;106D2F64&quot;/&gt;&lt;wsp:rsid wsp:val=&quot;10A2566A&quot;/&gt;&lt;wsp:rsid wsp:val=&quot;10B63710&quot;/&gt;&lt;wsp:rsid wsp:val=&quot;10F10820&quot;/&gt;&lt;wsp:rsid wsp:val=&quot;10F515EE&quot;/&gt;&lt;wsp:rsid wsp:val=&quot;11090198&quot;/&gt;&lt;wsp:rsid wsp:val=&quot;111C2F7A&quot;/&gt;&lt;wsp:rsid wsp:val=&quot;1123404A&quot;/&gt;&lt;wsp:rsid wsp:val=&quot;114A0BD3&quot;/&gt;&lt;wsp:rsid wsp:val=&quot;11571444&quot;/&gt;&lt;wsp:rsid wsp:val=&quot;11665CA1&quot;/&gt;&lt;wsp:rsid wsp:val=&quot;1193641A&quot;/&gt;&lt;wsp:rsid wsp:val=&quot;11CA166E&quot;/&gt;&lt;wsp:rsid wsp:val=&quot;123254A4&quot;/&gt;&lt;wsp:rsid wsp:val=&quot;12997BFF&quot;/&gt;&lt;wsp:rsid wsp:val=&quot;12AC38F3&quot;/&gt;&lt;wsp:rsid wsp:val=&quot;13182D37&quot;/&gt;&lt;wsp:rsid wsp:val=&quot;13951726&quot;/&gt;&lt;wsp:rsid wsp:val=&quot;13970EEA&quot;/&gt;&lt;wsp:rsid wsp:val=&quot;13CB596D&quot;/&gt;&lt;wsp:rsid wsp:val=&quot;13CC3254&quot;/&gt;&lt;wsp:rsid wsp:val=&quot;141B6E1E&quot;/&gt;&lt;wsp:rsid wsp:val=&quot;14220022&quot;/&gt;&lt;wsp:rsid wsp:val=&quot;14396509&quot;/&gt;&lt;wsp:rsid wsp:val=&quot;144C67D2&quot;/&gt;&lt;wsp:rsid wsp:val=&quot;145558C5&quot;/&gt;&lt;wsp:rsid wsp:val=&quot;145850C6&quot;/&gt;&lt;wsp:rsid wsp:val=&quot;14BA6FEF&quot;/&gt;&lt;wsp:rsid wsp:val=&quot;14DD2C3C&quot;/&gt;&lt;wsp:rsid wsp:val=&quot;14EA425F&quot;/&gt;&lt;wsp:rsid wsp:val=&quot;151003FB&quot;/&gt;&lt;wsp:rsid wsp:val=&quot;153463B7&quot;/&gt;&lt;wsp:rsid wsp:val=&quot;15396384&quot;/&gt;&lt;wsp:rsid wsp:val=&quot;15436517&quot;/&gt;&lt;wsp:rsid wsp:val=&quot;154F1FA2&quot;/&gt;&lt;wsp:rsid wsp:val=&quot;158E5532&quot;/&gt;&lt;wsp:rsid wsp:val=&quot;159863B1&quot;/&gt;&lt;wsp:rsid wsp:val=&quot;16087E1D&quot;/&gt;&lt;wsp:rsid wsp:val=&quot;16294CD0&quot;/&gt;&lt;wsp:rsid wsp:val=&quot;16D36F75&quot;/&gt;&lt;wsp:rsid wsp:val=&quot;17127177&quot;/&gt;&lt;wsp:rsid wsp:val=&quot;174B595A&quot;/&gt;&lt;wsp:rsid wsp:val=&quot;174D4F79&quot;/&gt;&lt;wsp:rsid wsp:val=&quot;176F3141&quot;/&gt;&lt;wsp:rsid wsp:val=&quot;17701D14&quot;/&gt;&lt;wsp:rsid wsp:val=&quot;17735226&quot;/&gt;&lt;wsp:rsid wsp:val=&quot;177B3E6B&quot;/&gt;&lt;wsp:rsid wsp:val=&quot;17EE16B8&quot;/&gt;&lt;wsp:rsid wsp:val=&quot;182B3C2C&quot;/&gt;&lt;wsp:rsid wsp:val=&quot;1835327C&quot;/&gt;&lt;wsp:rsid wsp:val=&quot;186143C2&quot;/&gt;&lt;wsp:rsid wsp:val=&quot;189F624C&quot;/&gt;&lt;wsp:rsid wsp:val=&quot;18BF512F&quot;/&gt;&lt;wsp:rsid wsp:val=&quot;18FC7448&quot;/&gt;&lt;wsp:rsid wsp:val=&quot;19022CA3&quot;/&gt;&lt;wsp:rsid wsp:val=&quot;192C2713&quot;/&gt;&lt;wsp:rsid wsp:val=&quot;193F15CB&quot;/&gt;&lt;wsp:rsid wsp:val=&quot;19540841&quot;/&gt;&lt;wsp:rsid wsp:val=&quot;19670574&quot;/&gt;&lt;wsp:rsid wsp:val=&quot;19672D11&quot;/&gt;&lt;wsp:rsid wsp:val=&quot;19817EF8&quot;/&gt;&lt;wsp:rsid wsp:val=&quot;199C0018&quot;/&gt;&lt;wsp:rsid wsp:val=&quot;19ED3447&quot;/&gt;&lt;wsp:rsid wsp:val=&quot;1A0A2A87&quot;/&gt;&lt;wsp:rsid wsp:val=&quot;1A1C66C0&quot;/&gt;&lt;wsp:rsid wsp:val=&quot;1A337F70&quot;/&gt;&lt;wsp:rsid wsp:val=&quot;1A402B73&quot;/&gt;&lt;wsp:rsid wsp:val=&quot;1A42393B&quot;/&gt;&lt;wsp:rsid wsp:val=&quot;1A8663A0&quot;/&gt;&lt;wsp:rsid wsp:val=&quot;1AAD45DE&quot;/&gt;&lt;wsp:rsid wsp:val=&quot;1AC6549B&quot;/&gt;&lt;wsp:rsid wsp:val=&quot;1B046F80&quot;/&gt;&lt;wsp:rsid wsp:val=&quot;1B067919&quot;/&gt;&lt;wsp:rsid wsp:val=&quot;1B171B26&quot;/&gt;&lt;wsp:rsid wsp:val=&quot;1B3267B5&quot;/&gt;&lt;wsp:rsid wsp:val=&quot;1B40161D&quot;/&gt;&lt;wsp:rsid wsp:val=&quot;1B441859&quot;/&gt;&lt;wsp:rsid wsp:val=&quot;1B522B5E&quot;/&gt;&lt;wsp:rsid wsp:val=&quot;1B6606B1&quot;/&gt;&lt;wsp:rsid wsp:val=&quot;1B83540D&quot;/&gt;&lt;wsp:rsid wsp:val=&quot;1BB92689&quot;/&gt;&lt;wsp:rsid wsp:val=&quot;1BDD6308&quot;/&gt;&lt;wsp:rsid wsp:val=&quot;1C170489&quot;/&gt;&lt;wsp:rsid wsp:val=&quot;1C201A78&quot;/&gt;&lt;wsp:rsid wsp:val=&quot;1C5D17BA&quot;/&gt;&lt;wsp:rsid wsp:val=&quot;1C5E7925&quot;/&gt;&lt;wsp:rsid wsp:val=&quot;1C896A53&quot;/&gt;&lt;wsp:rsid wsp:val=&quot;1C9B72E6&quot;/&gt;&lt;wsp:rsid wsp:val=&quot;1CD13F56&quot;/&gt;&lt;wsp:rsid wsp:val=&quot;1CFD070F&quot;/&gt;&lt;wsp:rsid wsp:val=&quot;1D53364D&quot;/&gt;&lt;wsp:rsid wsp:val=&quot;1D5F6196&quot;/&gt;&lt;wsp:rsid wsp:val=&quot;1D6132A5&quot;/&gt;&lt;wsp:rsid wsp:val=&quot;1D8E56D5&quot;/&gt;&lt;wsp:rsid wsp:val=&quot;1DAB47A7&quot;/&gt;&lt;wsp:rsid wsp:val=&quot;1DBA12AF&quot;/&gt;&lt;wsp:rsid wsp:val=&quot;1E05210A&quot;/&gt;&lt;wsp:rsid wsp:val=&quot;1E1B192D&quot;/&gt;&lt;wsp:rsid wsp:val=&quot;1E205195&quot;/&gt;&lt;wsp:rsid wsp:val=&quot;1E465A85&quot;/&gt;&lt;wsp:rsid wsp:val=&quot;1E6A3AB6&quot;/&gt;&lt;wsp:rsid wsp:val=&quot;1E7A43DA&quot;/&gt;&lt;wsp:rsid wsp:val=&quot;1E7E58E4&quot;/&gt;&lt;wsp:rsid wsp:val=&quot;1E91399D&quot;/&gt;&lt;wsp:rsid wsp:val=&quot;1E9811D0&quot;/&gt;&lt;wsp:rsid wsp:val=&quot;1F0F2DA3&quot;/&gt;&lt;wsp:rsid wsp:val=&quot;1F330BC9&quot;/&gt;&lt;wsp:rsid wsp:val=&quot;1FAC1BD6&quot;/&gt;&lt;wsp:rsid wsp:val=&quot;1FC55BF9&quot;/&gt;&lt;wsp:rsid wsp:val=&quot;1FE7539E&quot;/&gt;&lt;wsp:rsid wsp:val=&quot;1FEC3A03&quot;/&gt;&lt;wsp:rsid wsp:val=&quot;201725C8&quot;/&gt;&lt;wsp:rsid wsp:val=&quot;20344257&quot;/&gt;&lt;wsp:rsid wsp:val=&quot;203B6335&quot;/&gt;&lt;wsp:rsid wsp:val=&quot;20586D1B&quot;/&gt;&lt;wsp:rsid wsp:val=&quot;20671BE0&quot;/&gt;&lt;wsp:rsid wsp:val=&quot;206E085D&quot;/&gt;&lt;wsp:rsid wsp:val=&quot;206E1437&quot;/&gt;&lt;wsp:rsid wsp:val=&quot;20951D58&quot;/&gt;&lt;wsp:rsid wsp:val=&quot;20963CB8&quot;/&gt;&lt;wsp:rsid wsp:val=&quot;20A81A1B&quot;/&gt;&lt;wsp:rsid wsp:val=&quot;20B07FB6&quot;/&gt;&lt;wsp:rsid wsp:val=&quot;20B646FB&quot;/&gt;&lt;wsp:rsid wsp:val=&quot;20D26415&quot;/&gt;&lt;wsp:rsid wsp:val=&quot;212C7130&quot;/&gt;&lt;wsp:rsid wsp:val=&quot;213B74B1&quot;/&gt;&lt;wsp:rsid wsp:val=&quot;2147756F&quot;/&gt;&lt;wsp:rsid wsp:val=&quot;215A2310&quot;/&gt;&lt;wsp:rsid wsp:val=&quot;218D4053&quot;/&gt;&lt;wsp:rsid wsp:val=&quot;2198698A&quot;/&gt;&lt;wsp:rsid wsp:val=&quot;21A1039B&quot;/&gt;&lt;wsp:rsid wsp:val=&quot;21DA565B&quot;/&gt;&lt;wsp:rsid wsp:val=&quot;21DE318A&quot;/&gt;&lt;wsp:rsid wsp:val=&quot;21E02DE4&quot;/&gt;&lt;wsp:rsid wsp:val=&quot;21EA7F94&quot;/&gt;&lt;wsp:rsid wsp:val=&quot;21EF5B80&quot;/&gt;&lt;wsp:rsid wsp:val=&quot;21FE005D&quot;/&gt;&lt;wsp:rsid wsp:val=&quot;22462793&quot;/&gt;&lt;wsp:rsid wsp:val=&quot;22576990&quot;/&gt;&lt;wsp:rsid wsp:val=&quot;22665141&quot;/&gt;&lt;wsp:rsid wsp:val=&quot;228C4BA7&quot;/&gt;&lt;wsp:rsid wsp:val=&quot;22963C78&quot;/&gt;&lt;wsp:rsid wsp:val=&quot;22F47480&quot;/&gt;&lt;wsp:rsid wsp:val=&quot;23027D5E&quot;/&gt;&lt;wsp:rsid wsp:val=&quot;231B779A&quot;/&gt;&lt;wsp:rsid wsp:val=&quot;23223022&quot;/&gt;&lt;wsp:rsid wsp:val=&quot;23305BCF&quot;/&gt;&lt;wsp:rsid wsp:val=&quot;236B6EB3&quot;/&gt;&lt;wsp:rsid wsp:val=&quot;239755FD&quot;/&gt;&lt;wsp:rsid wsp:val=&quot;23AB3753&quot;/&gt;&lt;wsp:rsid wsp:val=&quot;23DE1C48&quot;/&gt;&lt;wsp:rsid wsp:val=&quot;23E87C34&quot;/&gt;&lt;wsp:rsid wsp:val=&quot;240210CD&quot;/&gt;&lt;wsp:rsid wsp:val=&quot;248F1A88&quot;/&gt;&lt;wsp:rsid wsp:val=&quot;24910737&quot;/&gt;&lt;wsp:rsid wsp:val=&quot;24952167&quot;/&gt;&lt;wsp:rsid wsp:val=&quot;24A81A41&quot;/&gt;&lt;wsp:rsid wsp:val=&quot;24B40CDE&quot;/&gt;&lt;wsp:rsid wsp:val=&quot;24BF09F7&quot;/&gt;&lt;wsp:rsid wsp:val=&quot;252D53FE&quot;/&gt;&lt;wsp:rsid wsp:val=&quot;257162D7&quot;/&gt;&lt;wsp:rsid wsp:val=&quot;25725018&quot;/&gt;&lt;wsp:rsid wsp:val=&quot;25B1778B&quot;/&gt;&lt;wsp:rsid wsp:val=&quot;25D725DE&quot;/&gt;&lt;wsp:rsid wsp:val=&quot;25EC2D81&quot;/&gt;&lt;wsp:rsid wsp:val=&quot;2627132E&quot;/&gt;&lt;wsp:rsid wsp:val=&quot;263C5A6F&quot;/&gt;&lt;wsp:rsid wsp:val=&quot;265901AD&quot;/&gt;&lt;wsp:rsid wsp:val=&quot;265A565A&quot;/&gt;&lt;wsp:rsid wsp:val=&quot;26A225AD&quot;/&gt;&lt;wsp:rsid wsp:val=&quot;26B474A7&quot;/&gt;&lt;wsp:rsid wsp:val=&quot;26E46C7B&quot;/&gt;&lt;wsp:rsid wsp:val=&quot;271E248E&quot;/&gt;&lt;wsp:rsid wsp:val=&quot;277057A2&quot;/&gt;&lt;wsp:rsid wsp:val=&quot;27845454&quot;/&gt;&lt;wsp:rsid wsp:val=&quot;27CE5C62&quot;/&gt;&lt;wsp:rsid wsp:val=&quot;27D97275&quot;/&gt;&lt;wsp:rsid wsp:val=&quot;27EC2BD2&quot;/&gt;&lt;wsp:rsid wsp:val=&quot;28110ABB&quot;/&gt;&lt;wsp:rsid wsp:val=&quot;283D69F1&quot;/&gt;&lt;wsp:rsid wsp:val=&quot;29206EB8&quot;/&gt;&lt;wsp:rsid wsp:val=&quot;29235B3A&quot;/&gt;&lt;wsp:rsid wsp:val=&quot;292C08CF&quot;/&gt;&lt;wsp:rsid wsp:val=&quot;294D2355&quot;/&gt;&lt;wsp:rsid wsp:val=&quot;29595666&quot;/&gt;&lt;wsp:rsid wsp:val=&quot;29707A8F&quot;/&gt;&lt;wsp:rsid wsp:val=&quot;29874881&quot;/&gt;&lt;wsp:rsid wsp:val=&quot;298F1421&quot;/&gt;&lt;wsp:rsid wsp:val=&quot;29E325E0&quot;/&gt;&lt;wsp:rsid wsp:val=&quot;2A0D49F1&quot;/&gt;&lt;wsp:rsid wsp:val=&quot;2A252C00&quot;/&gt;&lt;wsp:rsid wsp:val=&quot;2A452503&quot;/&gt;&lt;wsp:rsid wsp:val=&quot;2A65541B&quot;/&gt;&lt;wsp:rsid wsp:val=&quot;2A81749E&quot;/&gt;&lt;wsp:rsid wsp:val=&quot;2A9431F0&quot;/&gt;&lt;wsp:rsid wsp:val=&quot;2AA236B5&quot;/&gt;&lt;wsp:rsid wsp:val=&quot;2ADB491E&quot;/&gt;&lt;wsp:rsid wsp:val=&quot;2B141BDE&quot;/&gt;&lt;wsp:rsid wsp:val=&quot;2B1F5206&quot;/&gt;&lt;wsp:rsid wsp:val=&quot;2B381D70&quot;/&gt;&lt;wsp:rsid wsp:val=&quot;2B3F0D62&quot;/&gt;&lt;wsp:rsid wsp:val=&quot;2B41088E&quot;/&gt;&lt;wsp:rsid wsp:val=&quot;2B65243A&quot;/&gt;&lt;wsp:rsid wsp:val=&quot;2B6527BD&quot;/&gt;&lt;wsp:rsid wsp:val=&quot;2BA936A8&quot;/&gt;&lt;wsp:rsid wsp:val=&quot;2BEE74ED&quot;/&gt;&lt;wsp:rsid wsp:val=&quot;2C2461A6&quot;/&gt;&lt;wsp:rsid wsp:val=&quot;2C3027C9&quot;/&gt;&lt;wsp:rsid wsp:val=&quot;2C315A5A&quot;/&gt;&lt;wsp:rsid wsp:val=&quot;2C3A5674&quot;/&gt;&lt;wsp:rsid wsp:val=&quot;2C4B1C25&quot;/&gt;&lt;wsp:rsid wsp:val=&quot;2C801CFA&quot;/&gt;&lt;wsp:rsid wsp:val=&quot;2C9C1689&quot;/&gt;&lt;wsp:rsid wsp:val=&quot;2CAC23F9&quot;/&gt;&lt;wsp:rsid wsp:val=&quot;2CCF3A67&quot;/&gt;&lt;wsp:rsid wsp:val=&quot;2CD94E8D&quot;/&gt;&lt;wsp:rsid wsp:val=&quot;2D254588&quot;/&gt;&lt;wsp:rsid wsp:val=&quot;2D34043B&quot;/&gt;&lt;wsp:rsid wsp:val=&quot;2D9E56F5&quot;/&gt;&lt;wsp:rsid wsp:val=&quot;2DA73AE1&quot;/&gt;&lt;wsp:rsid wsp:val=&quot;2DE47F8D&quot;/&gt;&lt;wsp:rsid wsp:val=&quot;2E315F65&quot;/&gt;&lt;wsp:rsid wsp:val=&quot;2E5A0250&quot;/&gt;&lt;wsp:rsid wsp:val=&quot;2E5E1EBD&quot;/&gt;&lt;wsp:rsid wsp:val=&quot;2E667F96&quot;/&gt;&lt;wsp:rsid wsp:val=&quot;2E8226AB&quot;/&gt;&lt;wsp:rsid wsp:val=&quot;2EB76E91&quot;/&gt;&lt;wsp:rsid wsp:val=&quot;2F3F7C39&quot;/&gt;&lt;wsp:rsid wsp:val=&quot;2F5051AF&quot;/&gt;&lt;wsp:rsid wsp:val=&quot;2F9B3D18&quot;/&gt;&lt;wsp:rsid wsp:val=&quot;2FD065E6&quot;/&gt;&lt;wsp:rsid wsp:val=&quot;2FD96870&quot;/&gt;&lt;wsp:rsid wsp:val=&quot;2FE778C1&quot;/&gt;&lt;wsp:rsid wsp:val=&quot;30580BC9&quot;/&gt;&lt;wsp:rsid wsp:val=&quot;309537C1&quot;/&gt;&lt;wsp:rsid wsp:val=&quot;30A67A16&quot;/&gt;&lt;wsp:rsid wsp:val=&quot;30DB7244&quot;/&gt;&lt;wsp:rsid wsp:val=&quot;311E2ED7&quot;/&gt;&lt;wsp:rsid wsp:val=&quot;315076E8&quot;/&gt;&lt;wsp:rsid wsp:val=&quot;315619EE&quot;/&gt;&lt;wsp:rsid wsp:val=&quot;315C449C&quot;/&gt;&lt;wsp:rsid wsp:val=&quot;31B82709&quot;/&gt;&lt;wsp:rsid wsp:val=&quot;31C83722&quot;/&gt;&lt;wsp:rsid wsp:val=&quot;31D05482&quot;/&gt;&lt;wsp:rsid wsp:val=&quot;31EB75D7&quot;/&gt;&lt;wsp:rsid wsp:val=&quot;3205474E&quot;/&gt;&lt;wsp:rsid wsp:val=&quot;323B5397&quot;/&gt;&lt;wsp:rsid wsp:val=&quot;32400B34&quot;/&gt;&lt;wsp:rsid wsp:val=&quot;32446DD1&quot;/&gt;&lt;wsp:rsid wsp:val=&quot;324651F3&quot;/&gt;&lt;wsp:rsid wsp:val=&quot;324C089B&quot;/&gt;&lt;wsp:rsid wsp:val=&quot;32513718&quot;/&gt;&lt;wsp:rsid wsp:val=&quot;326E2272&quot;/&gt;&lt;wsp:rsid wsp:val=&quot;329E6876&quot;/&gt;&lt;wsp:rsid wsp:val=&quot;32AB72CC&quot;/&gt;&lt;wsp:rsid wsp:val=&quot;32B34BF9&quot;/&gt;&lt;wsp:rsid wsp:val=&quot;32C51588&quot;/&gt;&lt;wsp:rsid wsp:val=&quot;32EA309B&quot;/&gt;&lt;wsp:rsid wsp:val=&quot;32F10A57&quot;/&gt;&lt;wsp:rsid wsp:val=&quot;333015F2&quot;/&gt;&lt;wsp:rsid wsp:val=&quot;334B6320&quot;/&gt;&lt;wsp:rsid wsp:val=&quot;33613E2E&quot;/&gt;&lt;wsp:rsid wsp:val=&quot;336244FF&quot;/&gt;&lt;wsp:rsid wsp:val=&quot;337444AC&quot;/&gt;&lt;wsp:rsid wsp:val=&quot;338D7053&quot;/&gt;&lt;wsp:rsid wsp:val=&quot;33D934D4&quot;/&gt;&lt;wsp:rsid wsp:val=&quot;33FE2F6A&quot;/&gt;&lt;wsp:rsid wsp:val=&quot;340E07E5&quot;/&gt;&lt;wsp:rsid wsp:val=&quot;34235BF7&quot;/&gt;&lt;wsp:rsid wsp:val=&quot;347569FD&quot;/&gt;&lt;wsp:rsid wsp:val=&quot;34A71D01&quot;/&gt;&lt;wsp:rsid wsp:val=&quot;34F74BD3&quot;/&gt;&lt;wsp:rsid wsp:val=&quot;35287DEF&quot;/&gt;&lt;wsp:rsid wsp:val=&quot;35690D78&quot;/&gt;&lt;wsp:rsid wsp:val=&quot;358C5FA8&quot;/&gt;&lt;wsp:rsid wsp:val=&quot;35963DC9&quot;/&gt;&lt;wsp:rsid wsp:val=&quot;35A16C78&quot;/&gt;&lt;wsp:rsid wsp:val=&quot;35C15DF1&quot;/&gt;&lt;wsp:rsid wsp:val=&quot;35E01715&quot;/&gt;&lt;wsp:rsid wsp:val=&quot;35E055D7&quot;/&gt;&lt;wsp:rsid wsp:val=&quot;36074A7F&quot;/&gt;&lt;wsp:rsid wsp:val=&quot;363E0457&quot;/&gt;&lt;wsp:rsid wsp:val=&quot;3684230E&quot;/&gt;&lt;wsp:rsid wsp:val=&quot;36923549&quot;/&gt;&lt;wsp:rsid wsp:val=&quot;36B75FBF&quot;/&gt;&lt;wsp:rsid wsp:val=&quot;36BD0C45&quot;/&gt;&lt;wsp:rsid wsp:val=&quot;36C14A44&quot;/&gt;&lt;wsp:rsid wsp:val=&quot;36F823B4&quot;/&gt;&lt;wsp:rsid wsp:val=&quot;37315F38&quot;/&gt;&lt;wsp:rsid wsp:val=&quot;37754E09&quot;/&gt;&lt;wsp:rsid wsp:val=&quot;37D20E57&quot;/&gt;&lt;wsp:rsid wsp:val=&quot;37E00298&quot;/&gt;&lt;wsp:rsid wsp:val=&quot;37E578E6&quot;/&gt;&lt;wsp:rsid wsp:val=&quot;37F0691F&quot;/&gt;&lt;wsp:rsid wsp:val=&quot;37F4684E&quot;/&gt;&lt;wsp:rsid wsp:val=&quot;38626B64&quot;/&gt;&lt;wsp:rsid wsp:val=&quot;38B302F9&quot;/&gt;&lt;wsp:rsid wsp:val=&quot;38BB18EB&quot;/&gt;&lt;wsp:rsid wsp:val=&quot;38F12CD3&quot;/&gt;&lt;wsp:rsid wsp:val=&quot;38F94775&quot;/&gt;&lt;wsp:rsid wsp:val=&quot;392971ED&quot;/&gt;&lt;wsp:rsid wsp:val=&quot;39325651&quot;/&gt;&lt;wsp:rsid wsp:val=&quot;393C6ED0&quot;/&gt;&lt;wsp:rsid wsp:val=&quot;39597976&quot;/&gt;&lt;wsp:rsid wsp:val=&quot;395F496C&quot;/&gt;&lt;wsp:rsid wsp:val=&quot;39671A73&quot;/&gt;&lt;wsp:rsid wsp:val=&quot;399C171C&quot;/&gt;&lt;wsp:rsid wsp:val=&quot;39E12752&quot;/&gt;&lt;wsp:rsid wsp:val=&quot;39EB4452&quot;/&gt;&lt;wsp:rsid wsp:val=&quot;39F3541F&quot;/&gt;&lt;wsp:rsid wsp:val=&quot;3A0D261A&quot;/&gt;&lt;wsp:rsid wsp:val=&quot;3A335AE6&quot;/&gt;&lt;wsp:rsid wsp:val=&quot;3A4D7408&quot;/&gt;&lt;wsp:rsid wsp:val=&quot;3A597AE6&quot;/&gt;&lt;wsp:rsid wsp:val=&quot;3A872856&quot;/&gt;&lt;wsp:rsid wsp:val=&quot;3A887EF3&quot;/&gt;&lt;wsp:rsid wsp:val=&quot;3AB80F81&quot;/&gt;&lt;wsp:rsid wsp:val=&quot;3AD36EA3&quot;/&gt;&lt;wsp:rsid wsp:val=&quot;3B3763D1&quot;/&gt;&lt;wsp:rsid wsp:val=&quot;3B3911ED&quot;/&gt;&lt;wsp:rsid wsp:val=&quot;3B471387&quot;/&gt;&lt;wsp:rsid wsp:val=&quot;3BA76A26&quot;/&gt;&lt;wsp:rsid wsp:val=&quot;3C2F6E1E&quot;/&gt;&lt;wsp:rsid wsp:val=&quot;3C3041AA&quot;/&gt;&lt;wsp:rsid wsp:val=&quot;3C351E3D&quot;/&gt;&lt;wsp:rsid wsp:val=&quot;3C4F64BA&quot;/&gt;&lt;wsp:rsid wsp:val=&quot;3CDA245A&quot;/&gt;&lt;wsp:rsid wsp:val=&quot;3D0B0215&quot;/&gt;&lt;wsp:rsid wsp:val=&quot;3D1E06B7&quot;/&gt;&lt;wsp:rsid wsp:val=&quot;3D253A8B&quot;/&gt;&lt;wsp:rsid wsp:val=&quot;3D8B21D4&quot;/&gt;&lt;wsp:rsid wsp:val=&quot;3E341781&quot;/&gt;&lt;wsp:rsid wsp:val=&quot;3E7A587D&quot;/&gt;&lt;wsp:rsid wsp:val=&quot;3EAC0483&quot;/&gt;&lt;wsp:rsid wsp:val=&quot;3EDA0523&quot;/&gt;&lt;wsp:rsid wsp:val=&quot;3F7B12CB&quot;/&gt;&lt;wsp:rsid wsp:val=&quot;3F9335C1&quot;/&gt;&lt;wsp:rsid wsp:val=&quot;3FAE3F57&quot;/&gt;&lt;wsp:rsid wsp:val=&quot;3FC2288A&quot;/&gt;&lt;wsp:rsid wsp:val=&quot;400926DE&quot;/&gt;&lt;wsp:rsid wsp:val=&quot;4032541F&quot;/&gt;&lt;wsp:rsid wsp:val=&quot;40387CC5&quot;/&gt;&lt;wsp:rsid wsp:val=&quot;40520D87&quot;/&gt;&lt;wsp:rsid wsp:val=&quot;4059346A&quot;/&gt;&lt;wsp:rsid wsp:val=&quot;405F179F&quot;/&gt;&lt;wsp:rsid wsp:val=&quot;407A6407&quot;/&gt;&lt;wsp:rsid wsp:val=&quot;40B545A0&quot;/&gt;&lt;wsp:rsid wsp:val=&quot;40FB7670&quot;/&gt;&lt;wsp:rsid wsp:val=&quot;41251421&quot;/&gt;&lt;wsp:rsid wsp:val=&quot;41272213&quot;/&gt;&lt;wsp:rsid wsp:val=&quot;412F3A1A&quot;/&gt;&lt;wsp:rsid wsp:val=&quot;414626ED&quot;/&gt;&lt;wsp:rsid wsp:val=&quot;415D2049&quot;/&gt;&lt;wsp:rsid wsp:val=&quot;41652D3C&quot;/&gt;&lt;wsp:rsid wsp:val=&quot;41C07D0A&quot;/&gt;&lt;wsp:rsid wsp:val=&quot;41FF4F3E&quot;/&gt;&lt;wsp:rsid wsp:val=&quot;4200449D&quot;/&gt;&lt;wsp:rsid wsp:val=&quot;42075BA1&quot;/&gt;&lt;wsp:rsid wsp:val=&quot;423A3BCC&quot;/&gt;&lt;wsp:rsid wsp:val=&quot;424741EF&quot;/&gt;&lt;wsp:rsid wsp:val=&quot;424E57D2&quot;/&gt;&lt;wsp:rsid wsp:val=&quot;42963FE9&quot;/&gt;&lt;wsp:rsid wsp:val=&quot;42B26C49&quot;/&gt;&lt;wsp:rsid wsp:val=&quot;42D669C5&quot;/&gt;&lt;wsp:rsid wsp:val=&quot;42F97747&quot;/&gt;&lt;wsp:rsid wsp:val=&quot;43020B7B&quot;/&gt;&lt;wsp:rsid wsp:val=&quot;43193DDE&quot;/&gt;&lt;wsp:rsid wsp:val=&quot;43301127&quot;/&gt;&lt;wsp:rsid wsp:val=&quot;433A6FE6&quot;/&gt;&lt;wsp:rsid wsp:val=&quot;43480868&quot;/&gt;&lt;wsp:rsid wsp:val=&quot;4350713C&quot;/&gt;&lt;wsp:rsid wsp:val=&quot;436653E0&quot;/&gt;&lt;wsp:rsid wsp:val=&quot;436E0CB2&quot;/&gt;&lt;wsp:rsid wsp:val=&quot;438A3A14&quot;/&gt;&lt;wsp:rsid wsp:val=&quot;43A66856&quot;/&gt;&lt;wsp:rsid wsp:val=&quot;43B958AD&quot;/&gt;&lt;wsp:rsid wsp:val=&quot;43C4431A&quot;/&gt;&lt;wsp:rsid wsp:val=&quot;43F3462F&quot;/&gt;&lt;wsp:rsid wsp:val=&quot;440E10EE&quot;/&gt;&lt;wsp:rsid wsp:val=&quot;441237C5&quot;/&gt;&lt;wsp:rsid wsp:val=&quot;443775B0&quot;/&gt;&lt;wsp:rsid wsp:val=&quot;444E0D07&quot;/&gt;&lt;wsp:rsid wsp:val=&quot;4467501D&quot;/&gt;&lt;wsp:rsid wsp:val=&quot;447A1390&quot;/&gt;&lt;wsp:rsid wsp:val=&quot;44A43B7B&quot;/&gt;&lt;wsp:rsid wsp:val=&quot;44B951CC&quot;/&gt;&lt;wsp:rsid wsp:val=&quot;44C856C4&quot;/&gt;&lt;wsp:rsid wsp:val=&quot;44CD14E0&quot;/&gt;&lt;wsp:rsid wsp:val=&quot;44F05012&quot;/&gt;&lt;wsp:rsid wsp:val=&quot;44F20B0B&quot;/&gt;&lt;wsp:rsid wsp:val=&quot;452E5F4C&quot;/&gt;&lt;wsp:rsid wsp:val=&quot;454728B0&quot;/&gt;&lt;wsp:rsid wsp:val=&quot;45612018&quot;/&gt;&lt;wsp:rsid wsp:val=&quot;45694E44&quot;/&gt;&lt;wsp:rsid wsp:val=&quot;458946E9&quot;/&gt;&lt;wsp:rsid wsp:val=&quot;45A47C0E&quot;/&gt;&lt;wsp:rsid wsp:val=&quot;45ED3300&quot;/&gt;&lt;wsp:rsid wsp:val=&quot;460E1C7B&quot;/&gt;&lt;wsp:rsid wsp:val=&quot;460E6F6B&quot;/&gt;&lt;wsp:rsid wsp:val=&quot;46577FD6&quot;/&gt;&lt;wsp:rsid wsp:val=&quot;46787E89&quot;/&gt;&lt;wsp:rsid wsp:val=&quot;46B61944&quot;/&gt;&lt;wsp:rsid wsp:val=&quot;46C962FC&quot;/&gt;&lt;wsp:rsid wsp:val=&quot;46D955A7&quot;/&gt;&lt;wsp:rsid wsp:val=&quot;47133957&quot;/&gt;&lt;wsp:rsid wsp:val=&quot;47232A99&quot;/&gt;&lt;wsp:rsid wsp:val=&quot;475C073D&quot;/&gt;&lt;wsp:rsid wsp:val=&quot;47A07E0C&quot;/&gt;&lt;wsp:rsid wsp:val=&quot;47A140AA&quot;/&gt;&lt;wsp:rsid wsp:val=&quot;48000043&quot;/&gt;&lt;wsp:rsid wsp:val=&quot;4870272E&quot;/&gt;&lt;wsp:rsid wsp:val=&quot;487B3619&quot;/&gt;&lt;wsp:rsid wsp:val=&quot;489A151D&quot;/&gt;&lt;wsp:rsid wsp:val=&quot;48A835F4&quot;/&gt;&lt;wsp:rsid wsp:val=&quot;48DA542B&quot;/&gt;&lt;wsp:rsid wsp:val=&quot;48E165A4&quot;/&gt;&lt;wsp:rsid wsp:val=&quot;49000F55&quot;/&gt;&lt;wsp:rsid wsp:val=&quot;490502D8&quot;/&gt;&lt;wsp:rsid wsp:val=&quot;49180694&quot;/&gt;&lt;wsp:rsid wsp:val=&quot;493759AC&quot;/&gt;&lt;wsp:rsid wsp:val=&quot;49907B4B&quot;/&gt;&lt;wsp:rsid wsp:val=&quot;49AB1508&quot;/&gt;&lt;wsp:rsid wsp:val=&quot;49B25CF7&quot;/&gt;&lt;wsp:rsid wsp:val=&quot;49CE5ED2&quot;/&gt;&lt;wsp:rsid wsp:val=&quot;49DC7715&quot;/&gt;&lt;wsp:rsid wsp:val=&quot;49FC181A&quot;/&gt;&lt;wsp:rsid wsp:val=&quot;4A023139&quot;/&gt;&lt;wsp:rsid wsp:val=&quot;4A070E34&quot;/&gt;&lt;wsp:rsid wsp:val=&quot;4A310715&quot;/&gt;&lt;wsp:rsid wsp:val=&quot;4A4B2573&quot;/&gt;&lt;wsp:rsid wsp:val=&quot;4A4D21FE&quot;/&gt;&lt;wsp:rsid wsp:val=&quot;4A7B576F&quot;/&gt;&lt;wsp:rsid wsp:val=&quot;4A80685B&quot;/&gt;&lt;wsp:rsid wsp:val=&quot;4AA443BF&quot;/&gt;&lt;wsp:rsid wsp:val=&quot;4AB9714B&quot;/&gt;&lt;wsp:rsid wsp:val=&quot;4ACE1952&quot;/&gt;&lt;wsp:rsid wsp:val=&quot;4ADF3B5F&quot;/&gt;&lt;wsp:rsid wsp:val=&quot;4AEB2504&quot;/&gt;&lt;wsp:rsid wsp:val=&quot;4AF561A9&quot;/&gt;&lt;wsp:rsid wsp:val=&quot;4B5C6F5D&quot;/&gt;&lt;wsp:rsid wsp:val=&quot;4B60778F&quot;/&gt;&lt;wsp:rsid wsp:val=&quot;4B9366F7&quot;/&gt;&lt;wsp:rsid wsp:val=&quot;4BA8076C&quot;/&gt;&lt;wsp:rsid wsp:val=&quot;4BB14C65&quot;/&gt;&lt;wsp:rsid wsp:val=&quot;4BE97561&quot;/&gt;&lt;wsp:rsid wsp:val=&quot;4C1149EA&quot;/&gt;&lt;wsp:rsid wsp:val=&quot;4C435330&quot;/&gt;&lt;wsp:rsid wsp:val=&quot;4C4A0649&quot;/&gt;&lt;wsp:rsid wsp:val=&quot;4C7E5ECA&quot;/&gt;&lt;wsp:rsid wsp:val=&quot;4C876AA5&quot;/&gt;&lt;wsp:rsid wsp:val=&quot;4CA50490&quot;/&gt;&lt;wsp:rsid wsp:val=&quot;4CC54FDD&quot;/&gt;&lt;wsp:rsid wsp:val=&quot;4CE57767&quot;/&gt;&lt;wsp:rsid wsp:val=&quot;4D0E00FB&quot;/&gt;&lt;wsp:rsid wsp:val=&quot;4D0E6C05&quot;/&gt;&lt;wsp:rsid wsp:val=&quot;4D176606&quot;/&gt;&lt;wsp:rsid wsp:val=&quot;4D524790&quot;/&gt;&lt;wsp:rsid wsp:val=&quot;4D8D225A&quot;/&gt;&lt;wsp:rsid wsp:val=&quot;4DA40CE1&quot;/&gt;&lt;wsp:rsid wsp:val=&quot;4DEC4FB0&quot;/&gt;&lt;wsp:rsid wsp:val=&quot;4E075D8A&quot;/&gt;&lt;wsp:rsid wsp:val=&quot;4E2D48DA&quot;/&gt;&lt;wsp:rsid wsp:val=&quot;4E37390F&quot;/&gt;&lt;wsp:rsid wsp:val=&quot;4E6D3230&quot;/&gt;&lt;wsp:rsid wsp:val=&quot;4E8116E8&quot;/&gt;&lt;wsp:rsid wsp:val=&quot;4EA76741&quot;/&gt;&lt;wsp:rsid wsp:val=&quot;4EC00FAD&quot;/&gt;&lt;wsp:rsid wsp:val=&quot;4EF209CA&quot;/&gt;&lt;wsp:rsid wsp:val=&quot;4F4B53EA&quot;/&gt;&lt;wsp:rsid wsp:val=&quot;4F4E012F&quot;/&gt;&lt;wsp:rsid wsp:val=&quot;4F692941&quot;/&gt;&lt;wsp:rsid wsp:val=&quot;4F9547EC&quot;/&gt;&lt;wsp:rsid wsp:val=&quot;4F9843DC&quot;/&gt;&lt;wsp:rsid wsp:val=&quot;4FA15887&quot;/&gt;&lt;wsp:rsid wsp:val=&quot;4FC62A8C&quot;/&gt;&lt;wsp:rsid wsp:val=&quot;4FE20F0D&quot;/&gt;&lt;wsp:rsid wsp:val=&quot;4FE51552&quot;/&gt;&lt;wsp:rsid wsp:val=&quot;501222E0&quot;/&gt;&lt;wsp:rsid wsp:val=&quot;50504C4B&quot;/&gt;&lt;wsp:rsid wsp:val=&quot;506A70D2&quot;/&gt;&lt;wsp:rsid wsp:val=&quot;509C6E7C&quot;/&gt;&lt;wsp:rsid wsp:val=&quot;50A8054F&quot;/&gt;&lt;wsp:rsid wsp:val=&quot;50AE2F19&quot;/&gt;&lt;wsp:rsid wsp:val=&quot;50BA42F9&quot;/&gt;&lt;wsp:rsid wsp:val=&quot;50FE4613&quot;/&gt;&lt;wsp:rsid wsp:val=&quot;5162104E&quot;/&gt;&lt;wsp:rsid wsp:val=&quot;516C3C72&quot;/&gt;&lt;wsp:rsid wsp:val=&quot;52180D44&quot;/&gt;&lt;wsp:rsid wsp:val=&quot;521F2A93&quot;/&gt;&lt;wsp:rsid wsp:val=&quot;52282717&quot;/&gt;&lt;wsp:rsid wsp:val=&quot;526606C2&quot;/&gt;&lt;wsp:rsid wsp:val=&quot;52860D64&quot;/&gt;&lt;wsp:rsid wsp:val=&quot;52AA6800&quot;/&gt;&lt;wsp:rsid wsp:val=&quot;52C673C7&quot;/&gt;&lt;wsp:rsid wsp:val=&quot;52EA277D&quot;/&gt;&lt;wsp:rsid wsp:val=&quot;52F24577&quot;/&gt;&lt;wsp:rsid wsp:val=&quot;53163E96&quot;/&gt;&lt;wsp:rsid wsp:val=&quot;531A1F43&quot;/&gt;&lt;wsp:rsid wsp:val=&quot;53230361&quot;/&gt;&lt;wsp:rsid wsp:val=&quot;53A039CC&quot;/&gt;&lt;wsp:rsid wsp:val=&quot;53A1505A&quot;/&gt;&lt;wsp:rsid wsp:val=&quot;53BF62DB&quot;/&gt;&lt;wsp:rsid wsp:val=&quot;53FC752F&quot;/&gt;&lt;wsp:rsid wsp:val=&quot;54063E08&quot;/&gt;&lt;wsp:rsid wsp:val=&quot;54085ED4&quot;/&gt;&lt;wsp:rsid wsp:val=&quot;54162CDC&quot;/&gt;&lt;wsp:rsid wsp:val=&quot;543437E8&quot;/&gt;&lt;wsp:rsid wsp:val=&quot;544B3BE4&quot;/&gt;&lt;wsp:rsid wsp:val=&quot;54B12736&quot;/&gt;&lt;wsp:rsid wsp:val=&quot;54B80C69&quot;/&gt;&lt;wsp:rsid wsp:val=&quot;54F73313&quot;/&gt;&lt;wsp:rsid wsp:val=&quot;54F80955&quot;/&gt;&lt;wsp:rsid wsp:val=&quot;55085A60&quot;/&gt;&lt;wsp:rsid wsp:val=&quot;551B751F&quot;/&gt;&lt;wsp:rsid wsp:val=&quot;555170A7&quot;/&gt;&lt;wsp:rsid wsp:val=&quot;555C613E&quot;/&gt;&lt;wsp:rsid wsp:val=&quot;556233C2&quot;/&gt;&lt;wsp:rsid wsp:val=&quot;5587536D&quot;/&gt;&lt;wsp:rsid wsp:val=&quot;55943798&quot;/&gt;&lt;wsp:rsid wsp:val=&quot;559B174B&quot;/&gt;&lt;wsp:rsid wsp:val=&quot;55CE0CF4&quot;/&gt;&lt;wsp:rsid wsp:val=&quot;55DF0EB7&quot;/&gt;&lt;wsp:rsid wsp:val=&quot;56044125&quot;/&gt;&lt;wsp:rsid wsp:val=&quot;560C1580&quot;/&gt;&lt;wsp:rsid wsp:val=&quot;561F3F64&quot;/&gt;&lt;wsp:rsid wsp:val=&quot;56592E41&quot;/&gt;&lt;wsp:rsid wsp:val=&quot;568D0913&quot;/&gt;&lt;wsp:rsid wsp:val=&quot;5697709C&quot;/&gt;&lt;wsp:rsid wsp:val=&quot;56B22A9C&quot;/&gt;&lt;wsp:rsid wsp:val=&quot;56BC6214&quot;/&gt;&lt;wsp:rsid wsp:val=&quot;56D946B8&quot;/&gt;&lt;wsp:rsid wsp:val=&quot;56DC0F52&quot;/&gt;&lt;wsp:rsid wsp:val=&quot;572F5526&quot;/&gt;&lt;wsp:rsid wsp:val=&quot;57814C12&quot;/&gt;&lt;wsp:rsid wsp:val=&quot;57A55E1F&quot;/&gt;&lt;wsp:rsid wsp:val=&quot;57AF17D7&quot;/&gt;&lt;wsp:rsid wsp:val=&quot;57B72A76&quot;/&gt;&lt;wsp:rsid wsp:val=&quot;57B91294&quot;/&gt;&lt;wsp:rsid wsp:val=&quot;57C3426C&quot;/&gt;&lt;wsp:rsid wsp:val=&quot;57CE1F93&quot;/&gt;&lt;wsp:rsid wsp:val=&quot;58281544&quot;/&gt;&lt;wsp:rsid wsp:val=&quot;585651F5&quot;/&gt;&lt;wsp:rsid wsp:val=&quot;585A2598&quot;/&gt;&lt;wsp:rsid wsp:val=&quot;58847722&quot;/&gt;&lt;wsp:rsid wsp:val=&quot;588743D1&quot;/&gt;&lt;wsp:rsid wsp:val=&quot;5887701A&quot;/&gt;&lt;wsp:rsid wsp:val=&quot;58D501F4&quot;/&gt;&lt;wsp:rsid wsp:val=&quot;58FC58DC&quot;/&gt;&lt;wsp:rsid wsp:val=&quot;590E560F&quot;/&gt;&lt;wsp:rsid wsp:val=&quot;597F3AB1&quot;/&gt;&lt;wsp:rsid wsp:val=&quot;59C0439F&quot;/&gt;&lt;wsp:rsid wsp:val=&quot;59E746E3&quot;/&gt;&lt;wsp:rsid wsp:val=&quot;5A033B31&quot;/&gt;&lt;wsp:rsid wsp:val=&quot;5A786DB8&quot;/&gt;&lt;wsp:rsid wsp:val=&quot;5A991B1D&quot;/&gt;&lt;wsp:rsid wsp:val=&quot;5ABE2233&quot;/&gt;&lt;wsp:rsid wsp:val=&quot;5ADD2BA5&quot;/&gt;&lt;wsp:rsid wsp:val=&quot;5AEE043F&quot;/&gt;&lt;wsp:rsid wsp:val=&quot;5BBB255D&quot;/&gt;&lt;wsp:rsid wsp:val=&quot;5BD7600D&quot;/&gt;&lt;wsp:rsid wsp:val=&quot;5BDF5D95&quot;/&gt;&lt;wsp:rsid wsp:val=&quot;5BFE7528&quot;/&gt;&lt;wsp:rsid wsp:val=&quot;5C050F4B&quot;/&gt;&lt;wsp:rsid wsp:val=&quot;5C107BEF&quot;/&gt;&lt;wsp:rsid wsp:val=&quot;5C2238AB&quot;/&gt;&lt;wsp:rsid wsp:val=&quot;5C5D6BC1&quot;/&gt;&lt;wsp:rsid wsp:val=&quot;5C5F4D82&quot;/&gt;&lt;wsp:rsid wsp:val=&quot;5C873A6F&quot;/&gt;&lt;wsp:rsid wsp:val=&quot;5C8C341B&quot;/&gt;&lt;wsp:rsid wsp:val=&quot;5CFA2FF4&quot;/&gt;&lt;wsp:rsid wsp:val=&quot;5D380B12&quot;/&gt;&lt;wsp:rsid wsp:val=&quot;5D59154F&quot;/&gt;&lt;wsp:rsid wsp:val=&quot;5DCA6BBC&quot;/&gt;&lt;wsp:rsid wsp:val=&quot;5E192A8C&quot;/&gt;&lt;wsp:rsid wsp:val=&quot;5E2205CA&quot;/&gt;&lt;wsp:rsid wsp:val=&quot;5E2467F1&quot;/&gt;&lt;wsp:rsid wsp:val=&quot;5E7D2010&quot;/&gt;&lt;wsp:rsid wsp:val=&quot;5E9E498A&quot;/&gt;&lt;wsp:rsid wsp:val=&quot;5EB41DF4&quot;/&gt;&lt;wsp:rsid wsp:val=&quot;5EC8587D&quot;/&gt;&lt;wsp:rsid wsp:val=&quot;5F1A2B43&quot;/&gt;&lt;wsp:rsid wsp:val=&quot;5F860FF2&quot;/&gt;&lt;wsp:rsid wsp:val=&quot;5FB837BB&quot;/&gt;&lt;wsp:rsid wsp:val=&quot;60251740&quot;/&gt;&lt;wsp:rsid wsp:val=&quot;6037369D&quot;/&gt;&lt;wsp:rsid wsp:val=&quot;605D1356&quot;/&gt;&lt;wsp:rsid wsp:val=&quot;60CC405A&quot;/&gt;&lt;wsp:rsid wsp:val=&quot;60EF5D26&quot;/&gt;&lt;wsp:rsid wsp:val=&quot;61013BB8&quot;/&gt;&lt;wsp:rsid wsp:val=&quot;613A1697&quot;/&gt;&lt;wsp:rsid wsp:val=&quot;61624992&quot;/&gt;&lt;wsp:rsid wsp:val=&quot;61BE18D7&quot;/&gt;&lt;wsp:rsid wsp:val=&quot;61E215D8&quot;/&gt;&lt;wsp:rsid wsp:val=&quot;61F83585&quot;/&gt;&lt;wsp:rsid wsp:val=&quot;620B4DE2&quot;/&gt;&lt;wsp:rsid wsp:val=&quot;621B3775&quot;/&gt;&lt;wsp:rsid wsp:val=&quot;62364782&quot;/&gt;&lt;wsp:rsid wsp:val=&quot;625C743B&quot;/&gt;&lt;wsp:rsid wsp:val=&quot;626764BC&quot;/&gt;&lt;wsp:rsid wsp:val=&quot;627B5AC3&quot;/&gt;&lt;wsp:rsid wsp:val=&quot;62960B4F&quot;/&gt;&lt;wsp:rsid wsp:val=&quot;62B53A47&quot;/&gt;&lt;wsp:rsid wsp:val=&quot;62B814EF&quot;/&gt;&lt;wsp:rsid wsp:val=&quot;62FB47D4&quot;/&gt;&lt;wsp:rsid wsp:val=&quot;632E1C1D&quot;/&gt;&lt;wsp:rsid wsp:val=&quot;633C21FE&quot;/&gt;&lt;wsp:rsid wsp:val=&quot;637737BC&quot;/&gt;&lt;wsp:rsid wsp:val=&quot;6394356A&quot;/&gt;&lt;wsp:rsid wsp:val=&quot;639A594E&quot;/&gt;&lt;wsp:rsid wsp:val=&quot;63C61B2C&quot;/&gt;&lt;wsp:rsid wsp:val=&quot;63D40BE9&quot;/&gt;&lt;wsp:rsid wsp:val=&quot;64061D57&quot;/&gt;&lt;wsp:rsid wsp:val=&quot;64102431&quot;/&gt;&lt;wsp:rsid wsp:val=&quot;641E61FF&quot;/&gt;&lt;wsp:rsid wsp:val=&quot;64753107&quot;/&gt;&lt;wsp:rsid wsp:val=&quot;64A5243A&quot;/&gt;&lt;wsp:rsid wsp:val=&quot;64BB489D&quot;/&gt;&lt;wsp:rsid wsp:val=&quot;64C47814&quot;/&gt;&lt;wsp:rsid wsp:val=&quot;64CC2606&quot;/&gt;&lt;wsp:rsid wsp:val=&quot;64D823B5&quot;/&gt;&lt;wsp:rsid wsp:val=&quot;64F14DEE&quot;/&gt;&lt;wsp:rsid wsp:val=&quot;64F25C4B&quot;/&gt;&lt;wsp:rsid wsp:val=&quot;64F531DE&quot;/&gt;&lt;wsp:rsid wsp:val=&quot;64F733FB&quot;/&gt;&lt;wsp:rsid wsp:val=&quot;65373578&quot;/&gt;&lt;wsp:rsid wsp:val=&quot;65855B7B&quot;/&gt;&lt;wsp:rsid wsp:val=&quot;65D976D1&quot;/&gt;&lt;wsp:rsid wsp:val=&quot;663A1335&quot;/&gt;&lt;wsp:rsid wsp:val=&quot;665B766F&quot;/&gt;&lt;wsp:rsid wsp:val=&quot;665C5C0C&quot;/&gt;&lt;wsp:rsid wsp:val=&quot;667271DD&quot;/&gt;&lt;wsp:rsid wsp:val=&quot;66BA5445&quot;/&gt;&lt;wsp:rsid wsp:val=&quot;671D183F&quot;/&gt;&lt;wsp:rsid wsp:val=&quot;671F124A&quot;/&gt;&lt;wsp:rsid wsp:val=&quot;677A33C6&quot;/&gt;&lt;wsp:rsid wsp:val=&quot;678459F0&quot;/&gt;&lt;wsp:rsid wsp:val=&quot;67856E44&quot;/&gt;&lt;wsp:rsid wsp:val=&quot;67BA2D3C&quot;/&gt;&lt;wsp:rsid wsp:val=&quot;67F737B2&quot;/&gt;&lt;wsp:rsid wsp:val=&quot;68055D20&quot;/&gt;&lt;wsp:rsid wsp:val=&quot;681F6961&quot;/&gt;&lt;wsp:rsid wsp:val=&quot;682269E1&quot;/&gt;&lt;wsp:rsid wsp:val=&quot;68326CE6&quot;/&gt;&lt;wsp:rsid wsp:val=&quot;68610A2F&quot;/&gt;&lt;wsp:rsid wsp:val=&quot;68805514&quot;/&gt;&lt;wsp:rsid wsp:val=&quot;688F638F&quot;/&gt;&lt;wsp:rsid wsp:val=&quot;68FE2FAA&quot;/&gt;&lt;wsp:rsid wsp:val=&quot;6923369E&quot;/&gt;&lt;wsp:rsid wsp:val=&quot;69316E2F&quot;/&gt;&lt;wsp:rsid wsp:val=&quot;694E2071&quot;/&gt;&lt;wsp:rsid wsp:val=&quot;695C1C65&quot;/&gt;&lt;wsp:rsid wsp:val=&quot;69766163&quot;/&gt;&lt;wsp:rsid wsp:val=&quot;697A3B33&quot;/&gt;&lt;wsp:rsid wsp:val=&quot;69D44760&quot;/&gt;&lt;wsp:rsid wsp:val=&quot;6A2A5C37&quot;/&gt;&lt;wsp:rsid wsp:val=&quot;6A4E184A&quot;/&gt;&lt;wsp:rsid wsp:val=&quot;6A520EC7&quot;/&gt;&lt;wsp:rsid wsp:val=&quot;6A687B43&quot;/&gt;&lt;wsp:rsid wsp:val=&quot;6AB77E8E&quot;/&gt;&lt;wsp:rsid wsp:val=&quot;6AF87E20&quot;/&gt;&lt;wsp:rsid wsp:val=&quot;6B0B7C00&quot;/&gt;&lt;wsp:rsid wsp:val=&quot;6B140BF9&quot;/&gt;&lt;wsp:rsid wsp:val=&quot;6B322639&quot;/&gt;&lt;wsp:rsid wsp:val=&quot;6B5D3C1D&quot;/&gt;&lt;wsp:rsid wsp:val=&quot;6B5E0140&quot;/&gt;&lt;wsp:rsid wsp:val=&quot;6BC67A8C&quot;/&gt;&lt;wsp:rsid wsp:val=&quot;6C1D0C7C&quot;/&gt;&lt;wsp:rsid wsp:val=&quot;6C596833&quot;/&gt;&lt;wsp:rsid wsp:val=&quot;6C636C38&quot;/&gt;&lt;wsp:rsid wsp:val=&quot;6C881636&quot;/&gt;&lt;wsp:rsid wsp:val=&quot;6C962A35&quot;/&gt;&lt;wsp:rsid wsp:val=&quot;6C9854C4&quot;/&gt;&lt;wsp:rsid wsp:val=&quot;6CB00A5F&quot;/&gt;&lt;wsp:rsid wsp:val=&quot;6CB0179F&quot;/&gt;&lt;wsp:rsid wsp:val=&quot;6CB2337E&quot;/&gt;&lt;wsp:rsid wsp:val=&quot;6CB303CD&quot;/&gt;&lt;wsp:rsid wsp:val=&quot;6CC83FFB&quot;/&gt;&lt;wsp:rsid wsp:val=&quot;6D601880&quot;/&gt;&lt;wsp:rsid wsp:val=&quot;6D935DD7&quot;/&gt;&lt;wsp:rsid wsp:val=&quot;6D9B526C&quot;/&gt;&lt;wsp:rsid wsp:val=&quot;6DB34098&quot;/&gt;&lt;wsp:rsid wsp:val=&quot;6DB545B6&quot;/&gt;&lt;wsp:rsid wsp:val=&quot;6DE02FB4&quot;/&gt;&lt;wsp:rsid wsp:val=&quot;6DFB3020&quot;/&gt;&lt;wsp:rsid wsp:val=&quot;6E1D50AE&quot;/&gt;&lt;wsp:rsid wsp:val=&quot;6E514CED&quot;/&gt;&lt;wsp:rsid wsp:val=&quot;6EAD4575&quot;/&gt;&lt;wsp:rsid wsp:val=&quot;6EB563D5&quot;/&gt;&lt;wsp:rsid wsp:val=&quot;6ED92677&quot;/&gt;&lt;wsp:rsid wsp:val=&quot;6EDD2500&quot;/&gt;&lt;wsp:rsid wsp:val=&quot;6F025158&quot;/&gt;&lt;wsp:rsid wsp:val=&quot;6F215C44&quot;/&gt;&lt;wsp:rsid wsp:val=&quot;6F225983&quot;/&gt;&lt;wsp:rsid wsp:val=&quot;6F54601A&quot;/&gt;&lt;wsp:rsid wsp:val=&quot;6F697C94&quot;/&gt;&lt;wsp:rsid wsp:val=&quot;6FD33957&quot;/&gt;&lt;wsp:rsid wsp:val=&quot;6FFC5590&quot;/&gt;&lt;wsp:rsid wsp:val=&quot;70277D14&quot;/&gt;&lt;wsp:rsid wsp:val=&quot;70545BA6&quot;/&gt;&lt;wsp:rsid wsp:val=&quot;705D5A3F&quot;/&gt;&lt;wsp:rsid wsp:val=&quot;706D1DD0&quot;/&gt;&lt;wsp:rsid wsp:val=&quot;70856B87&quot;/&gt;&lt;wsp:rsid wsp:val=&quot;70A22DB5&quot;/&gt;&lt;wsp:rsid wsp:val=&quot;70B83BA6&quot;/&gt;&lt;wsp:rsid wsp:val=&quot;70D527EE&quot;/&gt;&lt;wsp:rsid wsp:val=&quot;71333633&quot;/&gt;&lt;wsp:rsid wsp:val=&quot;71350741&quot;/&gt;&lt;wsp:rsid wsp:val=&quot;715B5300&quot;/&gt;&lt;wsp:rsid wsp:val=&quot;71B71935&quot;/&gt;&lt;wsp:rsid wsp:val=&quot;71D27F8A&quot;/&gt;&lt;wsp:rsid wsp:val=&quot;723A2822&quot;/&gt;&lt;wsp:rsid wsp:val=&quot;72553024&quot;/&gt;&lt;wsp:rsid wsp:val=&quot;726A6EF9&quot;/&gt;&lt;wsp:rsid wsp:val=&quot;72826C46&quot;/&gt;&lt;wsp:rsid wsp:val=&quot;72B56DCF&quot;/&gt;&lt;wsp:rsid wsp:val=&quot;72C01A12&quot;/&gt;&lt;wsp:rsid wsp:val=&quot;72E36719&quot;/&gt;&lt;wsp:rsid wsp:val=&quot;72F13B80&quot;/&gt;&lt;wsp:rsid wsp:val=&quot;72F47912&quot;/&gt;&lt;wsp:rsid wsp:val=&quot;73122968&quot;/&gt;&lt;wsp:rsid wsp:val=&quot;731727D5&quot;/&gt;&lt;wsp:rsid wsp:val=&quot;731F5D5E&quot;/&gt;&lt;wsp:rsid wsp:val=&quot;732619CF&quot;/&gt;&lt;wsp:rsid wsp:val=&quot;733817AF&quot;/&gt;&lt;wsp:rsid wsp:val=&quot;738C18CB&quot;/&gt;&lt;wsp:rsid wsp:val=&quot;73C51AD5&quot;/&gt;&lt;wsp:rsid wsp:val=&quot;73D67E93&quot;/&gt;&lt;wsp:rsid wsp:val=&quot;73E052BC&quot;/&gt;&lt;wsp:rsid wsp:val=&quot;73EA2620&quot;/&gt;&lt;wsp:rsid wsp:val=&quot;73ED2806&quot;/&gt;&lt;wsp:rsid wsp:val=&quot;73F737C4&quot;/&gt;&lt;wsp:rsid wsp:val=&quot;741E793C&quot;/&gt;&lt;wsp:rsid wsp:val=&quot;74251D33&quot;/&gt;&lt;wsp:rsid wsp:val=&quot;74355F62&quot;/&gt;&lt;wsp:rsid wsp:val=&quot;745E3944&quot;/&gt;&lt;wsp:rsid wsp:val=&quot;7479712F&quot;/&gt;&lt;wsp:rsid wsp:val=&quot;748051BB&quot;/&gt;&lt;wsp:rsid wsp:val=&quot;74874906&quot;/&gt;&lt;wsp:rsid wsp:val=&quot;74E244D5&quot;/&gt;&lt;wsp:rsid wsp:val=&quot;757840E4&quot;/&gt;&lt;wsp:rsid wsp:val=&quot;758B0493&quot;/&gt;&lt;wsp:rsid wsp:val=&quot;75AA4D7D&quot;/&gt;&lt;wsp:rsid wsp:val=&quot;75F82D68&quot;/&gt;&lt;wsp:rsid wsp:val=&quot;75FF5884&quot;/&gt;&lt;wsp:rsid wsp:val=&quot;76313E23&quot;/&gt;&lt;wsp:rsid wsp:val=&quot;7635099D&quot;/&gt;&lt;wsp:rsid wsp:val=&quot;763E2BEB&quot;/&gt;&lt;wsp:rsid wsp:val=&quot;764741E2&quot;/&gt;&lt;wsp:rsid wsp:val=&quot;76736D71&quot;/&gt;&lt;wsp:rsid wsp:val=&quot;76960176&quot;/&gt;&lt;wsp:rsid wsp:val=&quot;769B62DC&quot;/&gt;&lt;wsp:rsid wsp:val=&quot;76BB6F2A&quot;/&gt;&lt;wsp:rsid wsp:val=&quot;76C05D43&quot;/&gt;&lt;wsp:rsid wsp:val=&quot;76C34592&quot;/&gt;&lt;wsp:rsid wsp:val=&quot;76C678AE&quot;/&gt;&lt;wsp:rsid wsp:val=&quot;76DD68F5&quot;/&gt;&lt;wsp:rsid wsp:val=&quot;77762421&quot;/&gt;&lt;wsp:rsid wsp:val=&quot;77B56B1F&quot;/&gt;&lt;wsp:rsid wsp:val=&quot;780F09F4&quot;/&gt;&lt;wsp:rsid wsp:val=&quot;782A4F3F&quot;/&gt;&lt;wsp:rsid wsp:val=&quot;782B5247&quot;/&gt;&lt;wsp:rsid wsp:val=&quot;782D6F7B&quot;/&gt;&lt;wsp:rsid wsp:val=&quot;78374F2B&quot;/&gt;&lt;wsp:rsid wsp:val=&quot;78574485&quot;/&gt;&lt;wsp:rsid wsp:val=&quot;78704450&quot;/&gt;&lt;wsp:rsid wsp:val=&quot;7879264D&quot;/&gt;&lt;wsp:rsid wsp:val=&quot;7892370F&quot;/&gt;&lt;wsp:rsid wsp:val=&quot;78A90480&quot;/&gt;&lt;wsp:rsid wsp:val=&quot;78DB3308&quot;/&gt;&lt;wsp:rsid wsp:val=&quot;790E4F15&quot;/&gt;&lt;wsp:rsid wsp:val=&quot;7974613D&quot;/&gt;&lt;wsp:rsid wsp:val=&quot;7A102EAC&quot;/&gt;&lt;wsp:rsid wsp:val=&quot;7A181268&quot;/&gt;&lt;wsp:rsid wsp:val=&quot;7A364017&quot;/&gt;&lt;wsp:rsid wsp:val=&quot;7A8265E1&quot;/&gt;&lt;wsp:rsid wsp:val=&quot;7AA91E53&quot;/&gt;&lt;wsp:rsid wsp:val=&quot;7B641393&quot;/&gt;&lt;wsp:rsid wsp:val=&quot;7B686D42&quot;/&gt;&lt;wsp:rsid wsp:val=&quot;7B841746&quot;/&gt;&lt;wsp:rsid wsp:val=&quot;7B933A26&quot;/&gt;&lt;wsp:rsid wsp:val=&quot;7BCC6F38&quot;/&gt;&lt;wsp:rsid wsp:val=&quot;7BD1454E&quot;/&gt;&lt;wsp:rsid wsp:val=&quot;7BD8392F&quot;/&gt;&lt;wsp:rsid wsp:val=&quot;7C0A35A6&quot;/&gt;&lt;wsp:rsid wsp:val=&quot;7C3C40BE&quot;/&gt;&lt;wsp:rsid wsp:val=&quot;7C424FBE&quot;/&gt;&lt;wsp:rsid wsp:val=&quot;7C4E408C&quot;/&gt;&lt;wsp:rsid wsp:val=&quot;7C5C7B16&quot;/&gt;&lt;wsp:rsid wsp:val=&quot;7C6C5AC7&quot;/&gt;&lt;wsp:rsid wsp:val=&quot;7CA42E56&quot;/&gt;&lt;wsp:rsid wsp:val=&quot;7CBC51FE&quot;/&gt;&lt;wsp:rsid wsp:val=&quot;7CC6544B&quot;/&gt;&lt;wsp:rsid wsp:val=&quot;7CC6608C&quot;/&gt;&lt;wsp:rsid wsp:val=&quot;7CD24A22&quot;/&gt;&lt;wsp:rsid wsp:val=&quot;7CFD2DEF&quot;/&gt;&lt;wsp:rsid wsp:val=&quot;7D0239FF&quot;/&gt;&lt;wsp:rsid wsp:val=&quot;7D0D15B6&quot;/&gt;&lt;wsp:rsid wsp:val=&quot;7D1B1F25&quot;/&gt;&lt;wsp:rsid wsp:val=&quot;7D2C1DAB&quot;/&gt;&lt;wsp:rsid wsp:val=&quot;7D307E9D&quot;/&gt;&lt;wsp:rsid wsp:val=&quot;7D515947&quot;/&gt;&lt;wsp:rsid wsp:val=&quot;7D572F04&quot;/&gt;&lt;wsp:rsid wsp:val=&quot;7D5E40CD&quot;/&gt;&lt;wsp:rsid wsp:val=&quot;7DCD56F2&quot;/&gt;&lt;wsp:rsid wsp:val=&quot;7DDB71B7&quot;/&gt;&lt;wsp:rsid wsp:val=&quot;7DF21E4B&quot;/&gt;&lt;wsp:rsid wsp:val=&quot;7E4A1AC2&quot;/&gt;&lt;wsp:rsid wsp:val=&quot;7E5E59BF&quot;/&gt;&lt;wsp:rsid wsp:val=&quot;7E68119A&quot;/&gt;&lt;wsp:rsid wsp:val=&quot;7E9637B2&quot;/&gt;&lt;wsp:rsid wsp:val=&quot;7EB376D4&quot;/&gt;&lt;wsp:rsid wsp:val=&quot;7F001CE7&quot;/&gt;&lt;wsp:rsid wsp:val=&quot;7F1255AA&quot;/&gt;&lt;wsp:rsid wsp:val=&quot;7F1E5CFC&quot;/&gt;&lt;wsp:rsid wsp:val=&quot;7F8900D5&quot;/&gt;&lt;wsp:rsid wsp:val=&quot;7FA16F1B&quot;/&gt;&lt;wsp:rsid wsp:val=&quot;7FE47E50&quot;/&gt;&lt;wsp:rsid wsp:val=&quot;7FF50432&quot;/&gt;&lt;/wsp:rsids&gt;&lt;/w:docPr&gt;&lt;w:body&gt;&lt;w:p wsp:rsidR=&quot;00000000&quot; wsp:rsidRDefault=&quot;008678B8&quot;&gt;&lt;m:oMathPara&gt;&lt;m:oMath&gt;&lt;m:f&gt;&lt;m:fPr&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x:font wx:val=&quot;Cambria Math&quot;/&gt;&lt;w:sz w:val=&quot;28&quot;/&gt;&lt;w:sz-cs w:val=&quot;28&quot;/&gt;&lt;/w:rPr&gt;&lt;m:t&gt;A&lt;/m:t&gt;&lt;/m:r&gt;&lt;/m:e&gt;&lt;m:sub&gt;&lt;m:r&gt;&lt;m:rPr&gt;&lt;m:sty m:val=&quot;p&quot;/&gt;&lt;/m:rPr&gt;&lt;w:rPr&gt;&lt;w:rFonts w:ascii=&quot;Cambria Math&quot;/&gt;&lt;wx:font wx:val=&quot;Cambria Math&quot;/&gt;&lt;w:sz w:val=&quot;28&quot;/&gt;&lt;w:sz-cs w:val=&quot;28&quot;/&gt;&lt;/w:rPr&gt;&lt;m:t&gt;ar&lt;/m:t&gt;&lt;/m:r&gt;&lt;/m:sub&gt;&lt;/m:sSub&gt;&lt;/m:num&gt;&lt;m:den&gt;&lt;m:r&gt;&lt;m:rPr&gt;&lt;m:sty m:val=&quot;p&quot;/&gt;&lt;/m:rPr&gt;&lt;w:rPr&gt;&lt;w:rFonts w:ascii=&quot;Cambria Math&quot;/&gt;&lt;wx:font wx:val=&quot;Cambria Math&quot;/&gt;&lt;w:sz w:val=&quot;28&quot;/&gt;&lt;w:sz-cs w:val=&quot;28&quot;/&gt;&lt;/w:rPr&gt;&lt;m:t&gt;100&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29" chromakey="#FFFFFF" o:title=""/>
                  <o:lock v:ext="edit" aspectratio="t"/>
                  <w10:wrap type="none"/>
                  <w10:anchorlock/>
                </v:shape>
              </w:pict>
            </w:r>
            <w:r>
              <w:rPr>
                <w:color w:val="auto"/>
                <w:sz w:val="28"/>
                <w:szCs w:val="28"/>
              </w:rPr>
              <w:fldChar w:fldCharType="end"/>
            </w:r>
            <w:r>
              <w:rPr>
                <w:color w:val="auto"/>
                <w:sz w:val="28"/>
                <w:szCs w:val="28"/>
              </w:rPr>
              <w:t>+</w:t>
            </w:r>
            <w:r>
              <w:rPr>
                <w:color w:val="auto"/>
                <w:sz w:val="28"/>
                <w:szCs w:val="28"/>
              </w:rPr>
              <w:fldChar w:fldCharType="begin"/>
            </w:r>
            <w:r>
              <w:rPr>
                <w:color w:val="auto"/>
                <w:sz w:val="28"/>
                <w:szCs w:val="28"/>
              </w:rPr>
              <w:instrText xml:space="preserve"> QUOTE </w:instrText>
            </w:r>
            <w:r>
              <w:rPr>
                <w:color w:val="auto"/>
                <w:position w:val="-15"/>
              </w:rPr>
              <w:pict>
                <v:shape id="_x0000_i1027" o:spt="75" type="#_x0000_t75" style="height:27.75pt;width:57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stylePaneFormatFilter w:val=&quot;3F01&quot;/&gt;&lt;w:documentProtection w:edit=&quot;tracked-changes&quot; w:enforcement=&quot;off&quot;/&gt;&lt;w:defaultTabStop w:val=&quot;420&quot;/&gt;&lt;w:characterSpacingControl w:val=&quot;DontCompress&quot;/&gt;&lt;w:webPageEncoding w:val=&quot;x-cp20936&quot;/&gt;&lt;w:optimizeForBrowser/&gt;&lt;w:validateAgainstSchema/&gt;&lt;w:saveInvalidXML w:val=&quot;off&quot;/&gt;&lt;w:ignoreMixedContent w:val=&quot;off&quot;/&gt;&lt;w:alwaysShowPlaceholderText w:val=&quot;off&quot;/&gt;&lt;w:compat&gt;&lt;w:balanceSingleByteDoubleByteWidth/&gt;&lt;w:ulTrailSpace/&gt;&lt;w:doNotExpandShiftReturn/&gt;&lt;w:adjustLineHeightInTable/&gt;&lt;w:breakWrappedTables/&gt;&lt;w:snapToGridInCell/&gt;&lt;w:dontGrowAutofit/&gt;&lt;w:useFELayout/&gt;&lt;/w:compat&gt;&lt;w:docVars&gt;&lt;w:docVar w:name=&quot;commondata&quot; w:val=&quot;eyJoZGlkIjoiMjI5NmZiYjc0MzdhMzA3NzNhM2UwOTFhMjljNjgzNDAifQ==&quot;/&gt;&lt;/w:docVars&gt;&lt;wsp:rsids&gt;&lt;wsp:rsidRoot wsp:val=&quot;00A14947&quot;/&gt;&lt;wsp:rsid wsp:val=&quot;0000070D&quot;/&gt;&lt;wsp:rsid wsp:val=&quot;00000718&quot;/&gt;&lt;wsp:rsid wsp:val=&quot;000010EF&quot;/&gt;&lt;wsp:rsid wsp:val=&quot;00001EE4&quot;/&gt;&lt;wsp:rsid wsp:val=&quot;00002D64&quot;/&gt;&lt;wsp:rsid wsp:val=&quot;00003EE0&quot;/&gt;&lt;wsp:rsid wsp:val=&quot;00005593&quot;/&gt;&lt;wsp:rsid wsp:val=&quot;000060B3&quot;/&gt;&lt;wsp:rsid wsp:val=&quot;00010066&quot;/&gt;&lt;wsp:rsid wsp:val=&quot;00012959&quot;/&gt;&lt;wsp:rsid wsp:val=&quot;00014BF1&quot;/&gt;&lt;wsp:rsid wsp:val=&quot;00015405&quot;/&gt;&lt;wsp:rsid wsp:val=&quot;0001681B&quot;/&gt;&lt;wsp:rsid wsp:val=&quot;0002034C&quot;/&gt;&lt;wsp:rsid wsp:val=&quot;000245D8&quot;/&gt;&lt;wsp:rsid wsp:val=&quot;00031513&quot;/&gt;&lt;wsp:rsid wsp:val=&quot;00036DA1&quot;/&gt;&lt;wsp:rsid wsp:val=&quot;00041039&quot;/&gt;&lt;wsp:rsid wsp:val=&quot;0004188E&quot;/&gt;&lt;wsp:rsid wsp:val=&quot;0004364B&quot;/&gt;&lt;wsp:rsid wsp:val=&quot;00043CFF&quot;/&gt;&lt;wsp:rsid wsp:val=&quot;0005244D&quot;/&gt;&lt;wsp:rsid wsp:val=&quot;00056DBE&quot;/&gt;&lt;wsp:rsid wsp:val=&quot;00060BBB&quot;/&gt;&lt;wsp:rsid wsp:val=&quot;00061B1F&quot;/&gt;&lt;wsp:rsid wsp:val=&quot;0006236C&quot;/&gt;&lt;wsp:rsid wsp:val=&quot;00063A72&quot;/&gt;&lt;wsp:rsid wsp:val=&quot;00065CFE&quot;/&gt;&lt;wsp:rsid wsp:val=&quot;00066766&quot;/&gt;&lt;wsp:rsid wsp:val=&quot;00067AA7&quot;/&gt;&lt;wsp:rsid wsp:val=&quot;000730CB&quot;/&gt;&lt;wsp:rsid wsp:val=&quot;000733C4&quot;/&gt;&lt;wsp:rsid wsp:val=&quot;00074783&quot;/&gt;&lt;wsp:rsid wsp:val=&quot;000804DD&quot;/&gt;&lt;wsp:rsid wsp:val=&quot;0008070B&quot;/&gt;&lt;wsp:rsid wsp:val=&quot;000810AC&quot;/&gt;&lt;wsp:rsid wsp:val=&quot;00081A02&quot;/&gt;&lt;wsp:rsid wsp:val=&quot;00082231&quot;/&gt;&lt;wsp:rsid wsp:val=&quot;00085255&quot;/&gt;&lt;wsp:rsid wsp:val=&quot;00086BAB&quot;/&gt;&lt;wsp:rsid wsp:val=&quot;00092D30&quot;/&gt;&lt;wsp:rsid wsp:val=&quot;00092D38&quot;/&gt;&lt;wsp:rsid wsp:val=&quot;000933A5&quot;/&gt;&lt;wsp:rsid wsp:val=&quot;00093660&quot;/&gt;&lt;wsp:rsid wsp:val=&quot;00093719&quot;/&gt;&lt;wsp:rsid wsp:val=&quot;0009377B&quot;/&gt;&lt;wsp:rsid wsp:val=&quot;00093D7F&quot;/&gt;&lt;wsp:rsid wsp:val=&quot;000A03D2&quot;/&gt;&lt;wsp:rsid wsp:val=&quot;000A0696&quot;/&gt;&lt;wsp:rsid wsp:val=&quot;000A20C9&quot;/&gt;&lt;wsp:rsid wsp:val=&quot;000A6116&quot;/&gt;&lt;wsp:rsid wsp:val=&quot;000B058F&quot;/&gt;&lt;wsp:rsid wsp:val=&quot;000B1A31&quot;/&gt;&lt;wsp:rsid wsp:val=&quot;000B4467&quot;/&gt;&lt;wsp:rsid wsp:val=&quot;000B46C8&quot;/&gt;&lt;wsp:rsid wsp:val=&quot;000B4DB9&quot;/&gt;&lt;wsp:rsid wsp:val=&quot;000B5271&quot;/&gt;&lt;wsp:rsid wsp:val=&quot;000C09AC&quot;/&gt;&lt;wsp:rsid wsp:val=&quot;000C3F30&quot;/&gt;&lt;wsp:rsid wsp:val=&quot;000C569A&quot;/&gt;&lt;wsp:rsid wsp:val=&quot;000C5B85&quot;/&gt;&lt;wsp:rsid wsp:val=&quot;000C5E3A&quot;/&gt;&lt;wsp:rsid wsp:val=&quot;000C767F&quot;/&gt;&lt;wsp:rsid wsp:val=&quot;000D09D8&quot;/&gt;&lt;wsp:rsid wsp:val=&quot;000D1E4D&quot;/&gt;&lt;wsp:rsid wsp:val=&quot;000D5A44&quot;/&gt;&lt;wsp:rsid wsp:val=&quot;000D5D91&quot;/&gt;&lt;wsp:rsid wsp:val=&quot;000D642F&quot;/&gt;&lt;wsp:rsid wsp:val=&quot;000E0E7F&quot;/&gt;&lt;wsp:rsid wsp:val=&quot;000E23B8&quot;/&gt;&lt;wsp:rsid wsp:val=&quot;000E3ED2&quot;/&gt;&lt;wsp:rsid wsp:val=&quot;000E620E&quot;/&gt;&lt;wsp:rsid wsp:val=&quot;000F5A6A&quot;/&gt;&lt;wsp:rsid wsp:val=&quot;0010026B&quot;/&gt;&lt;wsp:rsid wsp:val=&quot;00100946&quot;/&gt;&lt;wsp:rsid wsp:val=&quot;00102CE8&quot;/&gt;&lt;wsp:rsid wsp:val=&quot;00105237&quot;/&gt;&lt;wsp:rsid wsp:val=&quot;0011022F&quot;/&gt;&lt;wsp:rsid wsp:val=&quot;00111BCC&quot;/&gt;&lt;wsp:rsid wsp:val=&quot;001128D3&quot;/&gt;&lt;wsp:rsid wsp:val=&quot;00113901&quot;/&gt;&lt;wsp:rsid wsp:val=&quot;00124B90&quot;/&gt;&lt;wsp:rsid wsp:val=&quot;00126A96&quot;/&gt;&lt;wsp:rsid wsp:val=&quot;00126E17&quot;/&gt;&lt;wsp:rsid wsp:val=&quot;00126F6D&quot;/&gt;&lt;wsp:rsid wsp:val=&quot;00131F42&quot;/&gt;&lt;wsp:rsid wsp:val=&quot;00132BD8&quot;/&gt;&lt;wsp:rsid wsp:val=&quot;0013512B&quot;/&gt;&lt;wsp:rsid wsp:val=&quot;001357F1&quot;/&gt;&lt;wsp:rsid wsp:val=&quot;0013609D&quot;/&gt;&lt;wsp:rsid wsp:val=&quot;0014039F&quot;/&gt;&lt;wsp:rsid wsp:val=&quot;00140FA8&quot;/&gt;&lt;wsp:rsid wsp:val=&quot;00141085&quot;/&gt;&lt;wsp:rsid wsp:val=&quot;00142C7B&quot;/&gt;&lt;wsp:rsid wsp:val=&quot;00142DFC&quot;/&gt;&lt;wsp:rsid wsp:val=&quot;00142FEB&quot;/&gt;&lt;wsp:rsid wsp:val=&quot;001435D3&quot;/&gt;&lt;wsp:rsid wsp:val=&quot;00143A2D&quot;/&gt;&lt;wsp:rsid wsp:val=&quot;00145308&quot;/&gt;&lt;wsp:rsid wsp:val=&quot;00145A41&quot;/&gt;&lt;wsp:rsid wsp:val=&quot;00145DCD&quot;/&gt;&lt;wsp:rsid wsp:val=&quot;00151675&quot;/&gt;&lt;wsp:rsid wsp:val=&quot;00151C85&quot;/&gt;&lt;wsp:rsid wsp:val=&quot;00152725&quot;/&gt;&lt;wsp:rsid wsp:val=&quot;0015380C&quot;/&gt;&lt;wsp:rsid wsp:val=&quot;00153D22&quot;/&gt;&lt;wsp:rsid wsp:val=&quot;00156C5C&quot;/&gt;&lt;wsp:rsid wsp:val=&quot;00157435&quot;/&gt;&lt;wsp:rsid wsp:val=&quot;00165A39&quot;/&gt;&lt;wsp:rsid wsp:val=&quot;00167252&quot;/&gt;&lt;wsp:rsid wsp:val=&quot;001713F7&quot;/&gt;&lt;wsp:rsid wsp:val=&quot;00172069&quot;/&gt;&lt;wsp:rsid wsp:val=&quot;0017504D&quot;/&gt;&lt;wsp:rsid wsp:val=&quot;00176248&quot;/&gt;&lt;wsp:rsid wsp:val=&quot;0017671A&quot;/&gt;&lt;wsp:rsid wsp:val=&quot;00177422&quot;/&gt;&lt;wsp:rsid wsp:val=&quot;0018073C&quot;/&gt;&lt;wsp:rsid wsp:val=&quot;001820D7&quot;/&gt;&lt;wsp:rsid wsp:val=&quot;00183F85&quot;/&gt;&lt;wsp:rsid wsp:val=&quot;00184590&quot;/&gt;&lt;wsp:rsid wsp:val=&quot;001870D1&quot;/&gt;&lt;wsp:rsid wsp:val=&quot;0018781E&quot;/&gt;&lt;wsp:rsid wsp:val=&quot;00187DA5&quot;/&gt;&lt;wsp:rsid wsp:val=&quot;0019262D&quot;/&gt;&lt;wsp:rsid wsp:val=&quot;001956AC&quot;/&gt;&lt;wsp:rsid wsp:val=&quot;00196784&quot;/&gt;&lt;wsp:rsid wsp:val=&quot;0019687F&quot;/&gt;&lt;wsp:rsid wsp:val=&quot;00197513&quot;/&gt;&lt;wsp:rsid wsp:val=&quot;001A03DE&quot;/&gt;&lt;wsp:rsid wsp:val=&quot;001A1B35&quot;/&gt;&lt;wsp:rsid wsp:val=&quot;001A2277&quot;/&gt;&lt;wsp:rsid wsp:val=&quot;001A48A2&quot;/&gt;&lt;wsp:rsid wsp:val=&quot;001A6066&quot;/&gt;&lt;wsp:rsid wsp:val=&quot;001A671D&quot;/&gt;&lt;wsp:rsid wsp:val=&quot;001A6F61&quot;/&gt;&lt;wsp:rsid wsp:val=&quot;001A7F87&quot;/&gt;&lt;wsp:rsid wsp:val=&quot;001B2CB5&quot;/&gt;&lt;wsp:rsid wsp:val=&quot;001B72B8&quot;/&gt;&lt;wsp:rsid wsp:val=&quot;001C0AFA&quot;/&gt;&lt;wsp:rsid wsp:val=&quot;001C177F&quot;/&gt;&lt;wsp:rsid wsp:val=&quot;001C18AE&quot;/&gt;&lt;wsp:rsid wsp:val=&quot;001C445B&quot;/&gt;&lt;wsp:rsid wsp:val=&quot;001C5B74&quot;/&gt;&lt;wsp:rsid wsp:val=&quot;001C69B3&quot;/&gt;&lt;wsp:rsid wsp:val=&quot;001D100C&quot;/&gt;&lt;wsp:rsid wsp:val=&quot;001D4A9F&quot;/&gt;&lt;wsp:rsid wsp:val=&quot;001D5595&quot;/&gt;&lt;wsp:rsid wsp:val=&quot;001D7874&quot;/&gt;&lt;wsp:rsid wsp:val=&quot;001D7F22&quot;/&gt;&lt;wsp:rsid wsp:val=&quot;001E6D91&quot;/&gt;&lt;wsp:rsid wsp:val=&quot;001F09D0&quot;/&gt;&lt;wsp:rsid wsp:val=&quot;001F0F17&quot;/&gt;&lt;wsp:rsid wsp:val=&quot;001F1A85&quot;/&gt;&lt;wsp:rsid wsp:val=&quot;001F3347&quot;/&gt;&lt;wsp:rsid wsp:val=&quot;001F336F&quot;/&gt;&lt;wsp:rsid wsp:val=&quot;001F3524&quot;/&gt;&lt;wsp:rsid wsp:val=&quot;001F4E5F&quot;/&gt;&lt;wsp:rsid wsp:val=&quot;001F62ED&quot;/&gt;&lt;wsp:rsid wsp:val=&quot;001F69E4&quot;/&gt;&lt;wsp:rsid wsp:val=&quot;00202476&quot;/&gt;&lt;wsp:rsid wsp:val=&quot;0020631F&quot;/&gt;&lt;wsp:rsid wsp:val=&quot;00212110&quot;/&gt;&lt;wsp:rsid wsp:val=&quot;002125B4&quot;/&gt;&lt;wsp:rsid wsp:val=&quot;002155B8&quot;/&gt;&lt;wsp:rsid wsp:val=&quot;00215806&quot;/&gt;&lt;wsp:rsid wsp:val=&quot;00215988&quot;/&gt;&lt;wsp:rsid wsp:val=&quot;00220B62&quot;/&gt;&lt;wsp:rsid wsp:val=&quot;00224839&quot;/&gt;&lt;wsp:rsid wsp:val=&quot;002249B2&quot;/&gt;&lt;wsp:rsid wsp:val=&quot;002256FF&quot;/&gt;&lt;wsp:rsid wsp:val=&quot;0022596E&quot;/&gt;&lt;wsp:rsid wsp:val=&quot;00226574&quot;/&gt;&lt;wsp:rsid wsp:val=&quot;002273C7&quot;/&gt;&lt;wsp:rsid wsp:val=&quot;002278EC&quot;/&gt;&lt;wsp:rsid wsp:val=&quot;002304AA&quot;/&gt;&lt;wsp:rsid wsp:val=&quot;0023280E&quot;/&gt;&lt;wsp:rsid wsp:val=&quot;00234566&quot;/&gt;&lt;wsp:rsid wsp:val=&quot;00235E20&quot;/&gt;&lt;wsp:rsid wsp:val=&quot;00236972&quot;/&gt;&lt;wsp:rsid wsp:val=&quot;002377D1&quot;/&gt;&lt;wsp:rsid wsp:val=&quot;00241E01&quot;/&gt;&lt;wsp:rsid wsp:val=&quot;00241E30&quot;/&gt;&lt;wsp:rsid wsp:val=&quot;0024582C&quot;/&gt;&lt;wsp:rsid wsp:val=&quot;0024692A&quot;/&gt;&lt;wsp:rsid wsp:val=&quot;002506BC&quot;/&gt;&lt;wsp:rsid wsp:val=&quot;002516DE&quot;/&gt;&lt;wsp:rsid wsp:val=&quot;00252DCE&quot;/&gt;&lt;wsp:rsid wsp:val=&quot;00254345&quot;/&gt;&lt;wsp:rsid wsp:val=&quot;00254B4B&quot;/&gt;&lt;wsp:rsid wsp:val=&quot;0025524D&quot;/&gt;&lt;wsp:rsid wsp:val=&quot;00257A5E&quot;/&gt;&lt;wsp:rsid wsp:val=&quot;002643DD&quot;/&gt;&lt;wsp:rsid wsp:val=&quot;00264557&quot;/&gt;&lt;wsp:rsid wsp:val=&quot;00267C15&quot;/&gt;&lt;wsp:rsid wsp:val=&quot;002709A2&quot;/&gt;&lt;wsp:rsid wsp:val=&quot;00271811&quot;/&gt;&lt;wsp:rsid wsp:val=&quot;002800C4&quot;/&gt;&lt;wsp:rsid wsp:val=&quot;002805AB&quot;/&gt;&lt;wsp:rsid wsp:val=&quot;002821E6&quot;/&gt;&lt;wsp:rsid wsp:val=&quot;00284204&quot;/&gt;&lt;wsp:rsid wsp:val=&quot;002845CC&quot;/&gt;&lt;wsp:rsid wsp:val=&quot;00287707&quot;/&gt;&lt;wsp:rsid wsp:val=&quot;00291773&quot;/&gt;&lt;wsp:rsid wsp:val=&quot;00292D24&quot;/&gt;&lt;wsp:rsid wsp:val=&quot;0029638B&quot;/&gt;&lt;wsp:rsid wsp:val=&quot;00296986&quot;/&gt;&lt;wsp:rsid wsp:val=&quot;002A0C36&quot;/&gt;&lt;wsp:rsid wsp:val=&quot;002A168C&quot;/&gt;&lt;wsp:rsid wsp:val=&quot;002A3DC7&quot;/&gt;&lt;wsp:rsid wsp:val=&quot;002A4CB9&quot;/&gt;&lt;wsp:rsid wsp:val=&quot;002A4D20&quot;/&gt;&lt;wsp:rsid wsp:val=&quot;002A6078&quot;/&gt;&lt;wsp:rsid wsp:val=&quot;002A7B7D&quot;/&gt;&lt;wsp:rsid wsp:val=&quot;002B22D8&quot;/&gt;&lt;wsp:rsid wsp:val=&quot;002B34A1&quot;/&gt;&lt;wsp:rsid wsp:val=&quot;002B34E3&quot;/&gt;&lt;wsp:rsid wsp:val=&quot;002B49E2&quot;/&gt;&lt;wsp:rsid wsp:val=&quot;002B60E6&quot;/&gt;&lt;wsp:rsid wsp:val=&quot;002B7B00&quot;/&gt;&lt;wsp:rsid wsp:val=&quot;002B7C44&quot;/&gt;&lt;wsp:rsid wsp:val=&quot;002C24F6&quot;/&gt;&lt;wsp:rsid wsp:val=&quot;002C296F&quot;/&gt;&lt;wsp:rsid wsp:val=&quot;002C2ACD&quot;/&gt;&lt;wsp:rsid wsp:val=&quot;002C2B17&quot;/&gt;&lt;wsp:rsid wsp:val=&quot;002C3858&quot;/&gt;&lt;wsp:rsid wsp:val=&quot;002C4883&quot;/&gt;&lt;wsp:rsid wsp:val=&quot;002C608A&quot;/&gt;&lt;wsp:rsid wsp:val=&quot;002C7AB1&quot;/&gt;&lt;wsp:rsid wsp:val=&quot;002D122F&quot;/&gt;&lt;wsp:rsid wsp:val=&quot;002D2C8E&quot;/&gt;&lt;wsp:rsid wsp:val=&quot;002D3DD0&quot;/&gt;&lt;wsp:rsid wsp:val=&quot;002D593E&quot;/&gt;&lt;wsp:rsid wsp:val=&quot;002D702E&quot;/&gt;&lt;wsp:rsid wsp:val=&quot;002E1F3A&quot;/&gt;&lt;wsp:rsid wsp:val=&quot;002E298A&quot;/&gt;&lt;wsp:rsid wsp:val=&quot;002E2F3C&quot;/&gt;&lt;wsp:rsid wsp:val=&quot;002E7700&quot;/&gt;&lt;wsp:rsid wsp:val=&quot;002F2C81&quot;/&gt;&lt;wsp:rsid wsp:val=&quot;002F2E67&quot;/&gt;&lt;wsp:rsid wsp:val=&quot;002F4D32&quot;/&gt;&lt;wsp:rsid wsp:val=&quot;00301978&quot;/&gt;&lt;wsp:rsid wsp:val=&quot;00302FE7&quot;/&gt;&lt;wsp:rsid wsp:val=&quot;0030332C&quot;/&gt;&lt;wsp:rsid wsp:val=&quot;00303C66&quot;/&gt;&lt;wsp:rsid wsp:val=&quot;003051C2&quot;/&gt;&lt;wsp:rsid wsp:val=&quot;00305FB7&quot;/&gt;&lt;wsp:rsid wsp:val=&quot;003069F6&quot;/&gt;&lt;wsp:rsid wsp:val=&quot;00311D99&quot;/&gt;&lt;wsp:rsid wsp:val=&quot;00311F4E&quot;/&gt;&lt;wsp:rsid wsp:val=&quot;00312296&quot;/&gt;&lt;wsp:rsid wsp:val=&quot;00312C3E&quot;/&gt;&lt;wsp:rsid wsp:val=&quot;00312F02&quot;/&gt;&lt;wsp:rsid wsp:val=&quot;0031333D&quot;/&gt;&lt;wsp:rsid wsp:val=&quot;0031373A&quot;/&gt;&lt;wsp:rsid wsp:val=&quot;00314F0E&quot;/&gt;&lt;wsp:rsid wsp:val=&quot;00317FBD&quot;/&gt;&lt;wsp:rsid wsp:val=&quot;00321D8E&quot;/&gt;&lt;wsp:rsid wsp:val=&quot;00325928&quot;/&gt;&lt;wsp:rsid wsp:val=&quot;00326D90&quot;/&gt;&lt;wsp:rsid wsp:val=&quot;00332742&quot;/&gt;&lt;wsp:rsid wsp:val=&quot;0033280A&quot;/&gt;&lt;wsp:rsid wsp:val=&quot;00332863&quot;/&gt;&lt;wsp:rsid wsp:val=&quot;00333FCE&quot;/&gt;&lt;wsp:rsid wsp:val=&quot;00335265&quot;/&gt;&lt;wsp:rsid wsp:val=&quot;00335364&quot;/&gt;&lt;wsp:rsid wsp:val=&quot;0033684D&quot;/&gt;&lt;wsp:rsid wsp:val=&quot;00336B9F&quot;/&gt;&lt;wsp:rsid wsp:val=&quot;00337B42&quot;/&gt;&lt;wsp:rsid wsp:val=&quot;00340D1F&quot;/&gt;&lt;wsp:rsid wsp:val=&quot;00341B42&quot;/&gt;&lt;wsp:rsid wsp:val=&quot;0034269A&quot;/&gt;&lt;wsp:rsid wsp:val=&quot;0034348F&quot;/&gt;&lt;wsp:rsid wsp:val=&quot;00350CFF&quot;/&gt;&lt;wsp:rsid wsp:val=&quot;00353222&quot;/&gt;&lt;wsp:rsid wsp:val=&quot;00355306&quot;/&gt;&lt;wsp:rsid wsp:val=&quot;0035581D&quot;/&gt;&lt;wsp:rsid wsp:val=&quot;00356653&quot;/&gt;&lt;wsp:rsid wsp:val=&quot;0035743F&quot;/&gt;&lt;wsp:rsid wsp:val=&quot;00357BE2&quot;/&gt;&lt;wsp:rsid wsp:val=&quot;0036170C&quot;/&gt;&lt;wsp:rsid wsp:val=&quot;00361BD1&quot;/&gt;&lt;wsp:rsid wsp:val=&quot;003638C7&quot;/&gt;&lt;wsp:rsid wsp:val=&quot;003647F6&quot;/&gt;&lt;wsp:rsid wsp:val=&quot;00364AE8&quot;/&gt;&lt;wsp:rsid wsp:val=&quot;00366E0F&quot;/&gt;&lt;wsp:rsid wsp:val=&quot;00367FB4&quot;/&gt;&lt;wsp:rsid wsp:val=&quot;00371C4F&quot;/&gt;&lt;wsp:rsid wsp:val=&quot;003731F2&quot;/&gt;&lt;wsp:rsid wsp:val=&quot;00376A4F&quot;/&gt;&lt;wsp:rsid wsp:val=&quot;00377471&quot;/&gt;&lt;wsp:rsid wsp:val=&quot;00377C82&quot;/&gt;&lt;wsp:rsid wsp:val=&quot;00381A72&quot;/&gt;&lt;wsp:rsid wsp:val=&quot;00383783&quot;/&gt;&lt;wsp:rsid wsp:val=&quot;0038409E&quot;/&gt;&lt;wsp:rsid wsp:val=&quot;00384676&quot;/&gt;&lt;wsp:rsid wsp:val=&quot;00385F28&quot;/&gt;&lt;wsp:rsid wsp:val=&quot;00390857&quot;/&gt;&lt;wsp:rsid wsp:val=&quot;0039458F&quot;/&gt;&lt;wsp:rsid wsp:val=&quot;003A3785&quot;/&gt;&lt;wsp:rsid wsp:val=&quot;003A4BF3&quot;/&gt;&lt;wsp:rsid wsp:val=&quot;003B1798&quot;/&gt;&lt;wsp:rsid wsp:val=&quot;003B38F8&quot;/&gt;&lt;wsp:rsid wsp:val=&quot;003B420D&quot;/&gt;&lt;wsp:rsid wsp:val=&quot;003C01A9&quot;/&gt;&lt;wsp:rsid wsp:val=&quot;003C0F25&quot;/&gt;&lt;wsp:rsid wsp:val=&quot;003C1C0D&quot;/&gt;&lt;wsp:rsid wsp:val=&quot;003C2BEC&quot;/&gt;&lt;wsp:rsid wsp:val=&quot;003C6C16&quot;/&gt;&lt;wsp:rsid wsp:val=&quot;003C6DD7&quot;/&gt;&lt;wsp:rsid wsp:val=&quot;003C6EAC&quot;/&gt;&lt;wsp:rsid wsp:val=&quot;003D032A&quot;/&gt;&lt;wsp:rsid wsp:val=&quot;003D3FC1&quot;/&gt;&lt;wsp:rsid wsp:val=&quot;003D6067&quot;/&gt;&lt;wsp:rsid wsp:val=&quot;003D794D&quot;/&gt;&lt;wsp:rsid wsp:val=&quot;003D7EE9&quot;/&gt;&lt;wsp:rsid wsp:val=&quot;003E15AA&quot;/&gt;&lt;wsp:rsid wsp:val=&quot;003E18FE&quot;/&gt;&lt;wsp:rsid wsp:val=&quot;003E3058&quot;/&gt;&lt;wsp:rsid wsp:val=&quot;003E4779&quot;/&gt;&lt;wsp:rsid wsp:val=&quot;003E4ACE&quot;/&gt;&lt;wsp:rsid wsp:val=&quot;003E5F06&quot;/&gt;&lt;wsp:rsid wsp:val=&quot;003E70FF&quot;/&gt;&lt;wsp:rsid wsp:val=&quot;003E719E&quot;/&gt;&lt;wsp:rsid wsp:val=&quot;003E76A9&quot;/&gt;&lt;wsp:rsid wsp:val=&quot;003E7FAC&quot;/&gt;&lt;wsp:rsid wsp:val=&quot;003F0809&quot;/&gt;&lt;wsp:rsid wsp:val=&quot;003F0E67&quot;/&gt;&lt;wsp:rsid wsp:val=&quot;003F1311&quot;/&gt;&lt;wsp:rsid wsp:val=&quot;003F32BD&quot;/&gt;&lt;wsp:rsid wsp:val=&quot;003F6A8C&quot;/&gt;&lt;wsp:rsid wsp:val=&quot;003F6C92&quot;/&gt;&lt;wsp:rsid wsp:val=&quot;003F755C&quot;/&gt;&lt;wsp:rsid wsp:val=&quot;003F7616&quot;/&gt;&lt;wsp:rsid wsp:val=&quot;003F78CF&quot;/&gt;&lt;wsp:rsid wsp:val=&quot;004002D2&quot;/&gt;&lt;wsp:rsid wsp:val=&quot;00400A39&quot;/&gt;&lt;wsp:rsid wsp:val=&quot;00400F0A&quot;/&gt;&lt;wsp:rsid wsp:val=&quot;00406F01&quot;/&gt;&lt;wsp:rsid wsp:val=&quot;00410596&quot;/&gt;&lt;wsp:rsid wsp:val=&quot;00413AFF&quot;/&gt;&lt;wsp:rsid wsp:val=&quot;00413D70&quot;/&gt;&lt;wsp:rsid wsp:val=&quot;0041470A&quot;/&gt;&lt;wsp:rsid wsp:val=&quot;0041491A&quot;/&gt;&lt;wsp:rsid wsp:val=&quot;00415E52&quot;/&gt;&lt;wsp:rsid wsp:val=&quot;00416D50&quot;/&gt;&lt;wsp:rsid wsp:val=&quot;00416F06&quot;/&gt;&lt;wsp:rsid wsp:val=&quot;00416FD5&quot;/&gt;&lt;wsp:rsid wsp:val=&quot;00417772&quot;/&gt;&lt;wsp:rsid wsp:val=&quot;00417D46&quot;/&gt;&lt;wsp:rsid wsp:val=&quot;00420E6A&quot;/&gt;&lt;wsp:rsid wsp:val=&quot;00425A9E&quot;/&gt;&lt;wsp:rsid wsp:val=&quot;00426D6B&quot;/&gt;&lt;wsp:rsid wsp:val=&quot;00431E6C&quot;/&gt;&lt;wsp:rsid wsp:val=&quot;00433B13&quot;/&gt;&lt;wsp:rsid wsp:val=&quot;00433CE7&quot;/&gt;&lt;wsp:rsid wsp:val=&quot;00436372&quot;/&gt;&lt;wsp:rsid wsp:val=&quot;0043649C&quot;/&gt;&lt;wsp:rsid wsp:val=&quot;00437EC1&quot;/&gt;&lt;wsp:rsid wsp:val=&quot;004459B9&quot;/&gt;&lt;wsp:rsid wsp:val=&quot;00450D9A&quot;/&gt;&lt;wsp:rsid wsp:val=&quot;00452738&quot;/&gt;&lt;wsp:rsid wsp:val=&quot;00453A43&quot;/&gt;&lt;wsp:rsid wsp:val=&quot;00456091&quot;/&gt;&lt;wsp:rsid wsp:val=&quot;00460197&quot;/&gt;&lt;wsp:rsid wsp:val=&quot;00460E94&quot;/&gt;&lt;wsp:rsid wsp:val=&quot;00463036&quot;/&gt;&lt;wsp:rsid wsp:val=&quot;00466321&quot;/&gt;&lt;wsp:rsid wsp:val=&quot;00466876&quot;/&gt;&lt;wsp:rsid wsp:val=&quot;00466CA7&quot;/&gt;&lt;wsp:rsid wsp:val=&quot;00471C55&quot;/&gt;&lt;wsp:rsid wsp:val=&quot;00472296&quot;/&gt;&lt;wsp:rsid wsp:val=&quot;004754B3&quot;/&gt;&lt;wsp:rsid wsp:val=&quot;004766E5&quot;/&gt;&lt;wsp:rsid wsp:val=&quot;00477E8F&quot;/&gt;&lt;wsp:rsid wsp:val=&quot;00482283&quot;/&gt;&lt;wsp:rsid wsp:val=&quot;00483155&quot;/&gt;&lt;wsp:rsid wsp:val=&quot;00484B9B&quot;/&gt;&lt;wsp:rsid wsp:val=&quot;00485367&quot;/&gt;&lt;wsp:rsid wsp:val=&quot;004855F6&quot;/&gt;&lt;wsp:rsid wsp:val=&quot;0048661E&quot;/&gt;&lt;wsp:rsid wsp:val=&quot;00491F41&quot;/&gt;&lt;wsp:rsid wsp:val=&quot;0049427B&quot;/&gt;&lt;wsp:rsid wsp:val=&quot;00494670&quot;/&gt;&lt;wsp:rsid wsp:val=&quot;00494B08&quot;/&gt;&lt;wsp:rsid wsp:val=&quot;00494E0F&quot;/&gt;&lt;wsp:rsid wsp:val=&quot;00495C7B&quot;/&gt;&lt;wsp:rsid wsp:val=&quot;00495EBE&quot;/&gt;&lt;wsp:rsid wsp:val=&quot;00497083&quot;/&gt;&lt;wsp:rsid wsp:val=&quot;004A3823&quot;/&gt;&lt;wsp:rsid wsp:val=&quot;004A5051&quot;/&gt;&lt;wsp:rsid wsp:val=&quot;004A7EDB&quot;/&gt;&lt;wsp:rsid wsp:val=&quot;004B5FD7&quot;/&gt;&lt;wsp:rsid wsp:val=&quot;004C0113&quot;/&gt;&lt;wsp:rsid wsp:val=&quot;004C2405&quot;/&gt;&lt;wsp:rsid wsp:val=&quot;004D1A86&quot;/&gt;&lt;wsp:rsid wsp:val=&quot;004D502C&quot;/&gt;&lt;wsp:rsid wsp:val=&quot;004D7476&quot;/&gt;&lt;wsp:rsid wsp:val=&quot;004E41C6&quot;/&gt;&lt;wsp:rsid wsp:val=&quot;004E4CA4&quot;/&gt;&lt;wsp:rsid wsp:val=&quot;004E651B&quot;/&gt;&lt;wsp:rsid wsp:val=&quot;004E67A9&quot;/&gt;&lt;wsp:rsid wsp:val=&quot;004E6946&quot;/&gt;&lt;wsp:rsid wsp:val=&quot;004E70BD&quot;/&gt;&lt;wsp:rsid wsp:val=&quot;004F1AD8&quot;/&gt;&lt;wsp:rsid wsp:val=&quot;004F33F4&quot;/&gt;&lt;wsp:rsid wsp:val=&quot;004F3D47&quot;/&gt;&lt;wsp:rsid wsp:val=&quot;004F43A1&quot;/&gt;&lt;wsp:rsid wsp:val=&quot;004F64DB&quot;/&gt;&lt;wsp:rsid wsp:val=&quot;00501286&quot;/&gt;&lt;wsp:rsid wsp:val=&quot;00501499&quot;/&gt;&lt;wsp:rsid wsp:val=&quot;005039CB&quot;/&gt;&lt;wsp:rsid wsp:val=&quot;00503E17&quot;/&gt;&lt;wsp:rsid wsp:val=&quot;00504B24&quot;/&gt;&lt;wsp:rsid wsp:val=&quot;00504BDB&quot;/&gt;&lt;wsp:rsid wsp:val=&quot;0050558F&quot;/&gt;&lt;wsp:rsid wsp:val=&quot;00505D0D&quot;/&gt;&lt;wsp:rsid wsp:val=&quot;00506286&quot;/&gt;&lt;wsp:rsid wsp:val=&quot;00506C5F&quot;/&gt;&lt;wsp:rsid wsp:val=&quot;00510813&quot;/&gt;&lt;wsp:rsid wsp:val=&quot;005109F0&quot;/&gt;&lt;wsp:rsid wsp:val=&quot;00511990&quot;/&gt;&lt;wsp:rsid wsp:val=&quot;00511DE0&quot;/&gt;&lt;wsp:rsid wsp:val=&quot;005128F1&quot;/&gt;&lt;wsp:rsid wsp:val=&quot;00512E24&quot;/&gt;&lt;wsp:rsid wsp:val=&quot;00514870&quot;/&gt;&lt;wsp:rsid wsp:val=&quot;00514B2E&quot;/&gt;&lt;wsp:rsid wsp:val=&quot;00514B9B&quot;/&gt;&lt;wsp:rsid wsp:val=&quot;005163E2&quot;/&gt;&lt;wsp:rsid wsp:val=&quot;00517F02&quot;/&gt;&lt;wsp:rsid wsp:val=&quot;00520B30&quot;/&gt;&lt;wsp:rsid wsp:val=&quot;00521186&quot;/&gt;&lt;wsp:rsid wsp:val=&quot;0052273C&quot;/&gt;&lt;wsp:rsid wsp:val=&quot;00522E16&quot;/&gt;&lt;wsp:rsid wsp:val=&quot;0052386B&quot;/&gt;&lt;wsp:rsid wsp:val=&quot;00524303&quot;/&gt;&lt;wsp:rsid wsp:val=&quot;005258A2&quot;/&gt;&lt;wsp:rsid wsp:val=&quot;00526D9F&quot;/&gt;&lt;wsp:rsid wsp:val=&quot;00533BF9&quot;/&gt;&lt;wsp:rsid wsp:val=&quot;00534765&quot;/&gt;&lt;wsp:rsid wsp:val=&quot;0053561F&quot;/&gt;&lt;wsp:rsid wsp:val=&quot;00535E67&quot;/&gt;&lt;wsp:rsid wsp:val=&quot;00535EB9&quot;/&gt;&lt;wsp:rsid wsp:val=&quot;00537B54&quot;/&gt;&lt;wsp:rsid wsp:val=&quot;005401AE&quot;/&gt;&lt;wsp:rsid wsp:val=&quot;00540AE1&quot;/&gt;&lt;wsp:rsid wsp:val=&quot;00542E07&quot;/&gt;&lt;wsp:rsid wsp:val=&quot;00542EB6&quot;/&gt;&lt;wsp:rsid wsp:val=&quot;00545424&quot;/&gt;&lt;wsp:rsid wsp:val=&quot;00547541&quot;/&gt;&lt;wsp:rsid wsp:val=&quot;00547C63&quot;/&gt;&lt;wsp:rsid wsp:val=&quot;005539FB&quot;/&gt;&lt;wsp:rsid wsp:val=&quot;00554A7B&quot;/&gt;&lt;wsp:rsid wsp:val=&quot;0055572C&quot;/&gt;&lt;wsp:rsid wsp:val=&quot;0055625F&quot;/&gt;&lt;wsp:rsid wsp:val=&quot;005571F8&quot;/&gt;&lt;wsp:rsid wsp:val=&quot;00560B13&quot;/&gt;&lt;wsp:rsid wsp:val=&quot;0056106A&quot;/&gt;&lt;wsp:rsid wsp:val=&quot;0056132B&quot;/&gt;&lt;wsp:rsid wsp:val=&quot;0056178C&quot;/&gt;&lt;wsp:rsid wsp:val=&quot;00561FE0&quot;/&gt;&lt;wsp:rsid wsp:val=&quot;00566416&quot;/&gt;&lt;wsp:rsid wsp:val=&quot;005720AE&quot;/&gt;&lt;wsp:rsid wsp:val=&quot;0058033D&quot;/&gt;&lt;wsp:rsid wsp:val=&quot;00582717&quot;/&gt;&lt;wsp:rsid wsp:val=&quot;00582B4D&quot;/&gt;&lt;wsp:rsid wsp:val=&quot;00585A2F&quot;/&gt;&lt;wsp:rsid wsp:val=&quot;00586F7D&quot;/&gt;&lt;wsp:rsid wsp:val=&quot;005876AD&quot;/&gt;&lt;wsp:rsid wsp:val=&quot;00590731&quot;/&gt;&lt;wsp:rsid wsp:val=&quot;00593129&quot;/&gt;&lt;wsp:rsid wsp:val=&quot;00594D77&quot;/&gt;&lt;wsp:rsid wsp:val=&quot;005969E4&quot;/&gt;&lt;wsp:rsid wsp:val=&quot;005A06B7&quot;/&gt;&lt;wsp:rsid wsp:val=&quot;005A1759&quot;/&gt;&lt;wsp:rsid wsp:val=&quot;005A516D&quot;/&gt;&lt;wsp:rsid wsp:val=&quot;005A68A7&quot;/&gt;&lt;wsp:rsid wsp:val=&quot;005B09C8&quot;/&gt;&lt;wsp:rsid wsp:val=&quot;005B404B&quot;/&gt;&lt;wsp:rsid wsp:val=&quot;005B653D&quot;/&gt;&lt;wsp:rsid wsp:val=&quot;005C1D3A&quot;/&gt;&lt;wsp:rsid wsp:val=&quot;005D36AB&quot;/&gt;&lt;wsp:rsid wsp:val=&quot;005D41D9&quot;/&gt;&lt;wsp:rsid wsp:val=&quot;005D4233&quot;/&gt;&lt;wsp:rsid wsp:val=&quot;005D4CFC&quot;/&gt;&lt;wsp:rsid wsp:val=&quot;005E2FBC&quot;/&gt;&lt;wsp:rsid wsp:val=&quot;005E7E45&quot;/&gt;&lt;wsp:rsid wsp:val=&quot;005F17BF&quot;/&gt;&lt;wsp:rsid wsp:val=&quot;005F187E&quot;/&gt;&lt;wsp:rsid wsp:val=&quot;005F7AB1&quot;/&gt;&lt;wsp:rsid wsp:val=&quot;00604BA3&quot;/&gt;&lt;wsp:rsid wsp:val=&quot;00604BE9&quot;/&gt;&lt;wsp:rsid wsp:val=&quot;00605931&quot;/&gt;&lt;wsp:rsid wsp:val=&quot;00605E30&quot;/&gt;&lt;wsp:rsid wsp:val=&quot;0061158D&quot;/&gt;&lt;wsp:rsid wsp:val=&quot;0061510F&quot;/&gt;&lt;wsp:rsid wsp:val=&quot;00617852&quot;/&gt;&lt;wsp:rsid wsp:val=&quot;00617CC3&quot;/&gt;&lt;wsp:rsid wsp:val=&quot;006210B5&quot;/&gt;&lt;wsp:rsid wsp:val=&quot;006215B1&quot;/&gt;&lt;wsp:rsid wsp:val=&quot;0062531C&quot;/&gt;&lt;wsp:rsid wsp:val=&quot;00625604&quot;/&gt;&lt;wsp:rsid wsp:val=&quot;006260C5&quot;/&gt;&lt;wsp:rsid wsp:val=&quot;006308AF&quot;/&gt;&lt;wsp:rsid wsp:val=&quot;0063177B&quot;/&gt;&lt;wsp:rsid wsp:val=&quot;00635152&quot;/&gt;&lt;wsp:rsid wsp:val=&quot;0063702B&quot;/&gt;&lt;wsp:rsid wsp:val=&quot;006377A6&quot;/&gt;&lt;wsp:rsid wsp:val=&quot;00637A3D&quot;/&gt;&lt;wsp:rsid wsp:val=&quot;006411EF&quot;/&gt;&lt;wsp:rsid wsp:val=&quot;00642D23&quot;/&gt;&lt;wsp:rsid wsp:val=&quot;00643A56&quot;/&gt;&lt;wsp:rsid wsp:val=&quot;00650211&quot;/&gt;&lt;wsp:rsid wsp:val=&quot;0065038C&quot;/&gt;&lt;wsp:rsid wsp:val=&quot;00652855&quot;/&gt;&lt;wsp:rsid wsp:val=&quot;00654ED9&quot;/&gt;&lt;wsp:rsid wsp:val=&quot;00660540&quot;/&gt;&lt;wsp:rsid wsp:val=&quot;00666822&quot;/&gt;&lt;wsp:rsid wsp:val=&quot;006723F4&quot;/&gt;&lt;wsp:rsid wsp:val=&quot;00672F71&quot;/&gt;&lt;wsp:rsid wsp:val=&quot;006748B8&quot;/&gt;&lt;wsp:rsid wsp:val=&quot;006775C3&quot;/&gt;&lt;wsp:rsid wsp:val=&quot;00681A25&quot;/&gt;&lt;wsp:rsid wsp:val=&quot;00682AAF&quot;/&gt;&lt;wsp:rsid wsp:val=&quot;00684E69&quot;/&gt;&lt;wsp:rsid wsp:val=&quot;006862EC&quot;/&gt;&lt;wsp:rsid wsp:val=&quot;00690468&quot;/&gt;&lt;wsp:rsid wsp:val=&quot;0069065A&quot;/&gt;&lt;wsp:rsid wsp:val=&quot;006906C7&quot;/&gt;&lt;wsp:rsid wsp:val=&quot;00691D3D&quot;/&gt;&lt;wsp:rsid wsp:val=&quot;00691D91&quot;/&gt;&lt;wsp:rsid wsp:val=&quot;0069290A&quot;/&gt;&lt;wsp:rsid wsp:val=&quot;00692DE4&quot;/&gt;&lt;wsp:rsid wsp:val=&quot;006930A4&quot;/&gt;&lt;wsp:rsid wsp:val=&quot;00695B0A&quot;/&gt;&lt;wsp:rsid wsp:val=&quot;00696D06&quot;/&gt;&lt;wsp:rsid wsp:val=&quot;00696E47&quot;/&gt;&lt;wsp:rsid wsp:val=&quot;0069775A&quot;/&gt;&lt;wsp:rsid wsp:val=&quot;00697813&quot;/&gt;&lt;wsp:rsid wsp:val=&quot;00697B12&quot;/&gt;&lt;wsp:rsid wsp:val=&quot;006A225C&quot;/&gt;&lt;wsp:rsid wsp:val=&quot;006A3EE8&quot;/&gt;&lt;wsp:rsid wsp:val=&quot;006A488B&quot;/&gt;&lt;wsp:rsid wsp:val=&quot;006A5115&quot;/&gt;&lt;wsp:rsid wsp:val=&quot;006A7209&quot;/&gt;&lt;wsp:rsid wsp:val=&quot;006A72BF&quot;/&gt;&lt;wsp:rsid wsp:val=&quot;006B03F2&quot;/&gt;&lt;wsp:rsid wsp:val=&quot;006B1434&quot;/&gt;&lt;wsp:rsid wsp:val=&quot;006B37DC&quot;/&gt;&lt;wsp:rsid wsp:val=&quot;006B3B32&quot;/&gt;&lt;wsp:rsid wsp:val=&quot;006B4F68&quot;/&gt;&lt;wsp:rsid wsp:val=&quot;006C0592&quot;/&gt;&lt;wsp:rsid wsp:val=&quot;006C272E&quot;/&gt;&lt;wsp:rsid wsp:val=&quot;006C2A2E&quot;/&gt;&lt;wsp:rsid wsp:val=&quot;006C2EC0&quot;/&gt;&lt;wsp:rsid wsp:val=&quot;006C480B&quot;/&gt;&lt;wsp:rsid wsp:val=&quot;006C5479&quot;/&gt;&lt;wsp:rsid wsp:val=&quot;006C577B&quot;/&gt;&lt;wsp:rsid wsp:val=&quot;006D13B5&quot;/&gt;&lt;wsp:rsid wsp:val=&quot;006D3EC8&quot;/&gt;&lt;wsp:rsid wsp:val=&quot;006D4F07&quot;/&gt;&lt;wsp:rsid wsp:val=&quot;006D6440&quot;/&gt;&lt;wsp:rsid wsp:val=&quot;006D6F3B&quot;/&gt;&lt;wsp:rsid wsp:val=&quot;006D7D37&quot;/&gt;&lt;wsp:rsid wsp:val=&quot;006E12FF&quot;/&gt;&lt;wsp:rsid wsp:val=&quot;006E47C5&quot;/&gt;&lt;wsp:rsid wsp:val=&quot;006E4978&quot;/&gt;&lt;wsp:rsid wsp:val=&quot;006E607E&quot;/&gt;&lt;wsp:rsid wsp:val=&quot;006E6703&quot;/&gt;&lt;wsp:rsid wsp:val=&quot;006E6AE5&quot;/&gt;&lt;wsp:rsid wsp:val=&quot;006F0CE9&quot;/&gt;&lt;wsp:rsid wsp:val=&quot;006F11B1&quot;/&gt;&lt;wsp:rsid wsp:val=&quot;006F36A6&quot;/&gt;&lt;wsp:rsid wsp:val=&quot;006F5D4C&quot;/&gt;&lt;wsp:rsid wsp:val=&quot;006F6BC4&quot;/&gt;&lt;wsp:rsid wsp:val=&quot;00703BA4&quot;/&gt;&lt;wsp:rsid wsp:val=&quot;00706C5D&quot;/&gt;&lt;wsp:rsid wsp:val=&quot;007077D0&quot;/&gt;&lt;wsp:rsid wsp:val=&quot;007106E4&quot;/&gt;&lt;wsp:rsid wsp:val=&quot;00711134&quot;/&gt;&lt;wsp:rsid wsp:val=&quot;00712C20&quot;/&gt;&lt;wsp:rsid wsp:val=&quot;00712E92&quot;/&gt;&lt;wsp:rsid wsp:val=&quot;00716273&quot;/&gt;&lt;wsp:rsid wsp:val=&quot;00721537&quot;/&gt;&lt;wsp:rsid wsp:val=&quot;00721777&quot;/&gt;&lt;wsp:rsid wsp:val=&quot;007236A8&quot;/&gt;&lt;wsp:rsid wsp:val=&quot;00727E77&quot;/&gt;&lt;wsp:rsid wsp:val=&quot;0073010E&quot;/&gt;&lt;wsp:rsid wsp:val=&quot;00730842&quot;/&gt;&lt;wsp:rsid wsp:val=&quot;00732922&quot;/&gt;&lt;wsp:rsid wsp:val=&quot;0073339F&quot;/&gt;&lt;wsp:rsid wsp:val=&quot;007351A9&quot;/&gt;&lt;wsp:rsid wsp:val=&quot;00735203&quot;/&gt;&lt;wsp:rsid wsp:val=&quot;00740E02&quot;/&gt;&lt;wsp:rsid wsp:val=&quot;0074145C&quot;/&gt;&lt;wsp:rsid wsp:val=&quot;007425BF&quot;/&gt;&lt;wsp:rsid wsp:val=&quot;007439C5&quot;/&gt;&lt;wsp:rsid wsp:val=&quot;0075078B&quot;/&gt;&lt;wsp:rsid wsp:val=&quot;0075162E&quot;/&gt;&lt;wsp:rsid wsp:val=&quot;00754034&quot;/&gt;&lt;wsp:rsid wsp:val=&quot;00756556&quot;/&gt;&lt;wsp:rsid wsp:val=&quot;007618C4&quot;/&gt;&lt;wsp:rsid wsp:val=&quot;00764829&quot;/&gt;&lt;wsp:rsid wsp:val=&quot;007669EC&quot;/&gt;&lt;wsp:rsid wsp:val=&quot;007677FB&quot;/&gt;&lt;wsp:rsid wsp:val=&quot;00767980&quot;/&gt;&lt;wsp:rsid wsp:val=&quot;00770B19&quot;/&gt;&lt;wsp:rsid wsp:val=&quot;007717A5&quot;/&gt;&lt;wsp:rsid wsp:val=&quot;0077463F&quot;/&gt;&lt;wsp:rsid wsp:val=&quot;00776115&quot;/&gt;&lt;wsp:rsid wsp:val=&quot;00777406&quot;/&gt;&lt;wsp:rsid wsp:val=&quot;00780425&quot;/&gt;&lt;wsp:rsid wsp:val=&quot;00781145&quot;/&gt;&lt;wsp:rsid wsp:val=&quot;00781315&quot;/&gt;&lt;wsp:rsid wsp:val=&quot;007836EA&quot;/&gt;&lt;wsp:rsid wsp:val=&quot;00783A7E&quot;/&gt;&lt;wsp:rsid wsp:val=&quot;00783C05&quot;/&gt;&lt;wsp:rsid wsp:val=&quot;00784CDA&quot;/&gt;&lt;wsp:rsid wsp:val=&quot;007906C4&quot;/&gt;&lt;wsp:rsid wsp:val=&quot;00791CDF&quot;/&gt;&lt;wsp:rsid wsp:val=&quot;00792E34&quot;/&gt;&lt;wsp:rsid wsp:val=&quot;007940EA&quot;/&gt;&lt;wsp:rsid wsp:val=&quot;007967E8&quot;/&gt;&lt;wsp:rsid wsp:val=&quot;00797198&quot;/&gt;&lt;wsp:rsid wsp:val=&quot;007A2170&quot;/&gt;&lt;wsp:rsid wsp:val=&quot;007A22BF&quot;/&gt;&lt;wsp:rsid wsp:val=&quot;007A3323&quot;/&gt;&lt;wsp:rsid wsp:val=&quot;007A3870&quot;/&gt;&lt;wsp:rsid wsp:val=&quot;007A4232&quot;/&gt;&lt;wsp:rsid wsp:val=&quot;007A4B73&quot;/&gt;&lt;wsp:rsid wsp:val=&quot;007A610E&quot;/&gt;&lt;wsp:rsid wsp:val=&quot;007A6900&quot;/&gt;&lt;wsp:rsid wsp:val=&quot;007B2EBE&quot;/&gt;&lt;wsp:rsid wsp:val=&quot;007B34C2&quot;/&gt;&lt;wsp:rsid wsp:val=&quot;007B6B5F&quot;/&gt;&lt;wsp:rsid wsp:val=&quot;007B72B8&quot;/&gt;&lt;wsp:rsid wsp:val=&quot;007B7A58&quot;/&gt;&lt;wsp:rsid wsp:val=&quot;007C21B5&quot;/&gt;&lt;wsp:rsid wsp:val=&quot;007C225B&quot;/&gt;&lt;wsp:rsid wsp:val=&quot;007C324E&quot;/&gt;&lt;wsp:rsid wsp:val=&quot;007C39E3&quot;/&gt;&lt;wsp:rsid wsp:val=&quot;007C3BB5&quot;/&gt;&lt;wsp:rsid wsp:val=&quot;007C5FF8&quot;/&gt;&lt;wsp:rsid wsp:val=&quot;007D03DB&quot;/&gt;&lt;wsp:rsid wsp:val=&quot;007D129E&quot;/&gt;&lt;wsp:rsid wsp:val=&quot;007D158A&quot;/&gt;&lt;wsp:rsid wsp:val=&quot;007D323B&quot;/&gt;&lt;wsp:rsid wsp:val=&quot;007E1981&quot;/&gt;&lt;wsp:rsid wsp:val=&quot;007E2C55&quot;/&gt;&lt;wsp:rsid wsp:val=&quot;007E3D3C&quot;/&gt;&lt;wsp:rsid wsp:val=&quot;007E4BD2&quot;/&gt;&lt;wsp:rsid wsp:val=&quot;007F24F1&quot;/&gt;&lt;wsp:rsid wsp:val=&quot;007F6D1E&quot;/&gt;&lt;wsp:rsid wsp:val=&quot;008004D4&quot;/&gt;&lt;wsp:rsid wsp:val=&quot;00801393&quot;/&gt;&lt;wsp:rsid wsp:val=&quot;008017E0&quot;/&gt;&lt;wsp:rsid wsp:val=&quot;00802F88&quot;/&gt;&lt;wsp:rsid wsp:val=&quot;00803DE8&quot;/&gt;&lt;wsp:rsid wsp:val=&quot;00810A97&quot;/&gt;&lt;wsp:rsid wsp:val=&quot;008119C1&quot;/&gt;&lt;wsp:rsid wsp:val=&quot;0081293E&quot;/&gt;&lt;wsp:rsid wsp:val=&quot;00813677&quot;/&gt;&lt;wsp:rsid wsp:val=&quot;00815465&quot;/&gt;&lt;wsp:rsid wsp:val=&quot;008154DD&quot;/&gt;&lt;wsp:rsid wsp:val=&quot;008160BB&quot;/&gt;&lt;wsp:rsid wsp:val=&quot;00816B52&quot;/&gt;&lt;wsp:rsid wsp:val=&quot;00817E9A&quot;/&gt;&lt;wsp:rsid wsp:val=&quot;00826F12&quot;/&gt;&lt;wsp:rsid wsp:val=&quot;008277BE&quot;/&gt;&lt;wsp:rsid wsp:val=&quot;00827BE9&quot;/&gt;&lt;wsp:rsid wsp:val=&quot;008306BD&quot;/&gt;&lt;wsp:rsid wsp:val=&quot;008307A7&quot;/&gt;&lt;wsp:rsid wsp:val=&quot;00831A80&quot;/&gt;&lt;wsp:rsid wsp:val=&quot;00833743&quot;/&gt;&lt;wsp:rsid wsp:val=&quot;00833D6F&quot;/&gt;&lt;wsp:rsid wsp:val=&quot;008340A4&quot;/&gt;&lt;wsp:rsid wsp:val=&quot;00836BAD&quot;/&gt;&lt;wsp:rsid wsp:val=&quot;008370C9&quot;/&gt;&lt;wsp:rsid wsp:val=&quot;00840057&quot;/&gt;&lt;wsp:rsid wsp:val=&quot;0084306D&quot;/&gt;&lt;wsp:rsid wsp:val=&quot;00846E71&quot;/&gt;&lt;wsp:rsid wsp:val=&quot;00847BB7&quot;/&gt;&lt;wsp:rsid wsp:val=&quot;00847C35&quot;/&gt;&lt;wsp:rsid wsp:val=&quot;008505BF&quot;/&gt;&lt;wsp:rsid wsp:val=&quot;00852032&quot;/&gt;&lt;wsp:rsid wsp:val=&quot;0085441C&quot;/&gt;&lt;wsp:rsid wsp:val=&quot;008569BD&quot;/&gt;&lt;wsp:rsid wsp:val=&quot;008572F7&quot;/&gt;&lt;wsp:rsid wsp:val=&quot;008651C7&quot;/&gt;&lt;wsp:rsid wsp:val=&quot;008654B5&quot;/&gt;&lt;wsp:rsid wsp:val=&quot;008654C9&quot;/&gt;&lt;wsp:rsid wsp:val=&quot;0086773D&quot;/&gt;&lt;wsp:rsid wsp:val=&quot;0087135F&quot;/&gt;&lt;wsp:rsid wsp:val=&quot;00872D94&quot;/&gt;&lt;wsp:rsid wsp:val=&quot;00875057&quot;/&gt;&lt;wsp:rsid wsp:val=&quot;00880364&quot;/&gt;&lt;wsp:rsid wsp:val=&quot;00880BA7&quot;/&gt;&lt;wsp:rsid wsp:val=&quot;00884593&quot;/&gt;&lt;wsp:rsid wsp:val=&quot;00885709&quot;/&gt;&lt;wsp:rsid wsp:val=&quot;00891592&quot;/&gt;&lt;wsp:rsid wsp:val=&quot;00891E9E&quot;/&gt;&lt;wsp:rsid wsp:val=&quot;0089552C&quot;/&gt;&lt;wsp:rsid wsp:val=&quot;0089732A&quot;/&gt;&lt;wsp:rsid wsp:val=&quot;00897931&quot;/&gt;&lt;wsp:rsid wsp:val=&quot;008A1C21&quot;/&gt;&lt;wsp:rsid wsp:val=&quot;008A2EA5&quot;/&gt;&lt;wsp:rsid wsp:val=&quot;008A2F68&quot;/&gt;&lt;wsp:rsid wsp:val=&quot;008A583D&quot;/&gt;&lt;wsp:rsid wsp:val=&quot;008A5D78&quot;/&gt;&lt;wsp:rsid wsp:val=&quot;008B0D05&quot;/&gt;&lt;wsp:rsid wsp:val=&quot;008B333E&quot;/&gt;&lt;wsp:rsid wsp:val=&quot;008B4FA6&quot;/&gt;&lt;wsp:rsid wsp:val=&quot;008B5282&quot;/&gt;&lt;wsp:rsid wsp:val=&quot;008B7C17&quot;/&gt;&lt;wsp:rsid wsp:val=&quot;008C2B41&quot;/&gt;&lt;wsp:rsid wsp:val=&quot;008C2D01&quot;/&gt;&lt;wsp:rsid wsp:val=&quot;008C40E6&quot;/&gt;&lt;wsp:rsid wsp:val=&quot;008C6B38&quot;/&gt;&lt;wsp:rsid wsp:val=&quot;008D033B&quot;/&gt;&lt;wsp:rsid wsp:val=&quot;008D0F7A&quot;/&gt;&lt;wsp:rsid wsp:val=&quot;008D1F4C&quot;/&gt;&lt;wsp:rsid wsp:val=&quot;008D3162&quot;/&gt;&lt;wsp:rsid wsp:val=&quot;008D3DB4&quot;/&gt;&lt;wsp:rsid wsp:val=&quot;008D516A&quot;/&gt;&lt;wsp:rsid wsp:val=&quot;008D68E4&quot;/&gt;&lt;wsp:rsid wsp:val=&quot;008D794C&quot;/&gt;&lt;wsp:rsid wsp:val=&quot;008E0506&quot;/&gt;&lt;wsp:rsid wsp:val=&quot;008E0CFF&quot;/&gt;&lt;wsp:rsid wsp:val=&quot;008E3194&quot;/&gt;&lt;wsp:rsid wsp:val=&quot;008E5D6B&quot;/&gt;&lt;wsp:rsid wsp:val=&quot;008E756D&quot;/&gt;&lt;wsp:rsid wsp:val=&quot;008E76F0&quot;/&gt;&lt;wsp:rsid wsp:val=&quot;008E776F&quot;/&gt;&lt;wsp:rsid wsp:val=&quot;008F0691&quot;/&gt;&lt;wsp:rsid wsp:val=&quot;008F099C&quot;/&gt;&lt;wsp:rsid wsp:val=&quot;008F12CD&quot;/&gt;&lt;wsp:rsid wsp:val=&quot;008F15FE&quot;/&gt;&lt;wsp:rsid wsp:val=&quot;008F2D29&quot;/&gt;&lt;wsp:rsid wsp:val=&quot;008F3BDC&quot;/&gt;&lt;wsp:rsid wsp:val=&quot;008F5187&quot;/&gt;&lt;wsp:rsid wsp:val=&quot;008F60D8&quot;/&gt;&lt;wsp:rsid wsp:val=&quot;008F7814&quot;/&gt;&lt;wsp:rsid wsp:val=&quot;00902727&quot;/&gt;&lt;wsp:rsid wsp:val=&quot;0090312B&quot;/&gt;&lt;wsp:rsid wsp:val=&quot;009050AC&quot;/&gt;&lt;wsp:rsid wsp:val=&quot;00911425&quot;/&gt;&lt;wsp:rsid wsp:val=&quot;00911AD5&quot;/&gt;&lt;wsp:rsid wsp:val=&quot;00914E34&quot;/&gt;&lt;wsp:rsid wsp:val=&quot;00915E74&quot;/&gt;&lt;wsp:rsid wsp:val=&quot;0091736D&quot;/&gt;&lt;wsp:rsid wsp:val=&quot;00923524&quot;/&gt;&lt;wsp:rsid wsp:val=&quot;00925757&quot;/&gt;&lt;wsp:rsid wsp:val=&quot;00925D95&quot;/&gt;&lt;wsp:rsid wsp:val=&quot;009265F4&quot;/&gt;&lt;wsp:rsid wsp:val=&quot;009269B7&quot;/&gt;&lt;wsp:rsid wsp:val=&quot;0093037A&quot;/&gt;&lt;wsp:rsid wsp:val=&quot;00931A0E&quot;/&gt;&lt;wsp:rsid wsp:val=&quot;00934676&quot;/&gt;&lt;wsp:rsid wsp:val=&quot;0094154D&quot;/&gt;&lt;wsp:rsid wsp:val=&quot;00943FF7&quot;/&gt;&lt;wsp:rsid wsp:val=&quot;009443EA&quot;/&gt;&lt;wsp:rsid wsp:val=&quot;0095155F&quot;/&gt;&lt;wsp:rsid wsp:val=&quot;00951CB2&quot;/&gt;&lt;wsp:rsid wsp:val=&quot;00953A2D&quot;/&gt;&lt;wsp:rsid wsp:val=&quot;00954429&quot;/&gt;&lt;wsp:rsid wsp:val=&quot;00955B65&quot;/&gt;&lt;wsp:rsid wsp:val=&quot;009563CE&quot;/&gt;&lt;wsp:rsid wsp:val=&quot;00963DC1&quot;/&gt;&lt;wsp:rsid wsp:val=&quot;00964285&quot;/&gt;&lt;wsp:rsid wsp:val=&quot;009668F7&quot;/&gt;&lt;wsp:rsid wsp:val=&quot;00966A6A&quot;/&gt;&lt;wsp:rsid wsp:val=&quot;00970C62&quot;/&gt;&lt;wsp:rsid wsp:val=&quot;009728C5&quot;/&gt;&lt;wsp:rsid wsp:val=&quot;00972AC9&quot;/&gt;&lt;wsp:rsid wsp:val=&quot;00973AFF&quot;/&gt;&lt;wsp:rsid wsp:val=&quot;00974974&quot;/&gt;&lt;wsp:rsid wsp:val=&quot;00975832&quot;/&gt;&lt;wsp:rsid wsp:val=&quot;00976328&quot;/&gt;&lt;wsp:rsid wsp:val=&quot;0097680D&quot;/&gt;&lt;wsp:rsid wsp:val=&quot;00976BDB&quot;/&gt;&lt;wsp:rsid wsp:val=&quot;00982438&quot;/&gt;&lt;wsp:rsid wsp:val=&quot;009827AF&quot;/&gt;&lt;wsp:rsid wsp:val=&quot;0098340D&quot;/&gt;&lt;wsp:rsid wsp:val=&quot;00983BF0&quot;/&gt;&lt;wsp:rsid wsp:val=&quot;0098404C&quot;/&gt;&lt;wsp:rsid wsp:val=&quot;00985283&quot;/&gt;&lt;wsp:rsid wsp:val=&quot;0098782A&quot;/&gt;&lt;wsp:rsid wsp:val=&quot;00992059&quot;/&gt;&lt;wsp:rsid wsp:val=&quot;009940AA&quot;/&gt;&lt;wsp:rsid wsp:val=&quot;0099475C&quot;/&gt;&lt;wsp:rsid wsp:val=&quot;00995992&quot;/&gt;&lt;wsp:rsid wsp:val=&quot;009A03E5&quot;/&gt;&lt;wsp:rsid wsp:val=&quot;009A0F3B&quot;/&gt;&lt;wsp:rsid wsp:val=&quot;009A1804&quot;/&gt;&lt;wsp:rsid wsp:val=&quot;009A1BB4&quot;/&gt;&lt;wsp:rsid wsp:val=&quot;009A2628&quot;/&gt;&lt;wsp:rsid wsp:val=&quot;009A2908&quot;/&gt;&lt;wsp:rsid wsp:val=&quot;009A3200&quot;/&gt;&lt;wsp:rsid wsp:val=&quot;009A4DB6&quot;/&gt;&lt;wsp:rsid wsp:val=&quot;009A594A&quot;/&gt;&lt;wsp:rsid wsp:val=&quot;009A5AF1&quot;/&gt;&lt;wsp:rsid wsp:val=&quot;009A609F&quot;/&gt;&lt;wsp:rsid wsp:val=&quot;009A6647&quot;/&gt;&lt;wsp:rsid wsp:val=&quot;009A7203&quot;/&gt;&lt;wsp:rsid wsp:val=&quot;009B00E9&quot;/&gt;&lt;wsp:rsid wsp:val=&quot;009B0897&quot;/&gt;&lt;wsp:rsid wsp:val=&quot;009B5E67&quot;/&gt;&lt;wsp:rsid wsp:val=&quot;009B74C5&quot;/&gt;&lt;wsp:rsid wsp:val=&quot;009B7BD9&quot;/&gt;&lt;wsp:rsid wsp:val=&quot;009B7CD6&quot;/&gt;&lt;wsp:rsid wsp:val=&quot;009C20B1&quot;/&gt;&lt;wsp:rsid wsp:val=&quot;009C4110&quot;/&gt;&lt;wsp:rsid wsp:val=&quot;009C7DD5&quot;/&gt;&lt;wsp:rsid wsp:val=&quot;009D321A&quot;/&gt;&lt;wsp:rsid wsp:val=&quot;009D4397&quot;/&gt;&lt;wsp:rsid wsp:val=&quot;009D748A&quot;/&gt;&lt;wsp:rsid wsp:val=&quot;009E1CC2&quot;/&gt;&lt;wsp:rsid wsp:val=&quot;009E227D&quot;/&gt;&lt;wsp:rsid wsp:val=&quot;009E5019&quot;/&gt;&lt;wsp:rsid wsp:val=&quot;009E6399&quot;/&gt;&lt;wsp:rsid wsp:val=&quot;009F07AC&quot;/&gt;&lt;wsp:rsid wsp:val=&quot;009F0C30&quot;/&gt;&lt;wsp:rsid wsp:val=&quot;009F0D31&quot;/&gt;&lt;wsp:rsid wsp:val=&quot;009F6097&quot;/&gt;&lt;wsp:rsid wsp:val=&quot;009F68BD&quot;/&gt;&lt;wsp:rsid wsp:val=&quot;009F75E6&quot;/&gt;&lt;wsp:rsid wsp:val=&quot;00A03CDD&quot;/&gt;&lt;wsp:rsid wsp:val=&quot;00A04F1B&quot;/&gt;&lt;wsp:rsid wsp:val=&quot;00A0501B&quot;/&gt;&lt;wsp:rsid wsp:val=&quot;00A0528F&quot;/&gt;&lt;wsp:rsid wsp:val=&quot;00A11CE6&quot;/&gt;&lt;wsp:rsid wsp:val=&quot;00A14947&quot;/&gt;&lt;wsp:rsid wsp:val=&quot;00A152D6&quot;/&gt;&lt;wsp:rsid wsp:val=&quot;00A24731&quot;/&gt;&lt;wsp:rsid wsp:val=&quot;00A25AB7&quot;/&gt;&lt;wsp:rsid wsp:val=&quot;00A25C91&quot;/&gt;&lt;wsp:rsid wsp:val=&quot;00A25CD0&quot;/&gt;&lt;wsp:rsid wsp:val=&quot;00A2642C&quot;/&gt;&lt;wsp:rsid wsp:val=&quot;00A32A83&quot;/&gt;&lt;wsp:rsid wsp:val=&quot;00A363AE&quot;/&gt;&lt;wsp:rsid wsp:val=&quot;00A368DB&quot;/&gt;&lt;wsp:rsid wsp:val=&quot;00A40381&quot;/&gt;&lt;wsp:rsid wsp:val=&quot;00A423AA&quot;/&gt;&lt;wsp:rsid wsp:val=&quot;00A432A4&quot;/&gt;&lt;wsp:rsid wsp:val=&quot;00A4458A&quot;/&gt;&lt;wsp:rsid wsp:val=&quot;00A466FB&quot;/&gt;&lt;wsp:rsid wsp:val=&quot;00A47569&quot;/&gt;&lt;wsp:rsid wsp:val=&quot;00A477C1&quot;/&gt;&lt;wsp:rsid wsp:val=&quot;00A534EE&quot;/&gt;&lt;wsp:rsid wsp:val=&quot;00A53EC6&quot;/&gt;&lt;wsp:rsid wsp:val=&quot;00A55C0F&quot;/&gt;&lt;wsp:rsid wsp:val=&quot;00A60045&quot;/&gt;&lt;wsp:rsid wsp:val=&quot;00A60768&quot;/&gt;&lt;wsp:rsid wsp:val=&quot;00A60D83&quot;/&gt;&lt;wsp:rsid wsp:val=&quot;00A62E4A&quot;/&gt;&lt;wsp:rsid wsp:val=&quot;00A64059&quot;/&gt;&lt;wsp:rsid wsp:val=&quot;00A647E2&quot;/&gt;&lt;wsp:rsid wsp:val=&quot;00A660E7&quot;/&gt;&lt;wsp:rsid wsp:val=&quot;00A6622A&quot;/&gt;&lt;wsp:rsid wsp:val=&quot;00A752FD&quot;/&gt;&lt;wsp:rsid wsp:val=&quot;00A766C9&quot;/&gt;&lt;wsp:rsid wsp:val=&quot;00A826CD&quot;/&gt;&lt;wsp:rsid wsp:val=&quot;00A831D6&quot;/&gt;&lt;wsp:rsid wsp:val=&quot;00A8713F&quot;/&gt;&lt;wsp:rsid wsp:val=&quot;00A87F5D&quot;/&gt;&lt;wsp:rsid wsp:val=&quot;00A90BA1&quot;/&gt;&lt;wsp:rsid wsp:val=&quot;00A91BC8&quot;/&gt;&lt;wsp:rsid wsp:val=&quot;00A97A91&quot;/&gt;&lt;wsp:rsid wsp:val=&quot;00A97A9A&quot;/&gt;&lt;wsp:rsid wsp:val=&quot;00AA0671&quot;/&gt;&lt;wsp:rsid wsp:val=&quot;00AA2531&quot;/&gt;&lt;wsp:rsid wsp:val=&quot;00AA2DBD&quot;/&gt;&lt;wsp:rsid wsp:val=&quot;00AA56CD&quot;/&gt;&lt;wsp:rsid wsp:val=&quot;00AB03AD&quot;/&gt;&lt;wsp:rsid wsp:val=&quot;00AB1E09&quot;/&gt;&lt;wsp:rsid wsp:val=&quot;00AB34CA&quot;/&gt;&lt;wsp:rsid wsp:val=&quot;00AB40C3&quot;/&gt;&lt;wsp:rsid wsp:val=&quot;00AB4E1B&quot;/&gt;&lt;wsp:rsid wsp:val=&quot;00AB5330&quot;/&gt;&lt;wsp:rsid wsp:val=&quot;00AB5EC2&quot;/&gt;&lt;wsp:rsid wsp:val=&quot;00AB7271&quot;/&gt;&lt;wsp:rsid wsp:val=&quot;00AB7747&quot;/&gt;&lt;wsp:rsid wsp:val=&quot;00AB7B2E&quot;/&gt;&lt;wsp:rsid wsp:val=&quot;00AC074D&quot;/&gt;&lt;wsp:rsid wsp:val=&quot;00AC14CE&quot;/&gt;&lt;wsp:rsid wsp:val=&quot;00AC2A56&quot;/&gt;&lt;wsp:rsid wsp:val=&quot;00AC4C88&quot;/&gt;&lt;wsp:rsid wsp:val=&quot;00AC6211&quot;/&gt;&lt;wsp:rsid wsp:val=&quot;00AC649F&quot;/&gt;&lt;wsp:rsid wsp:val=&quot;00AD055E&quot;/&gt;&lt;wsp:rsid wsp:val=&quot;00AD3E63&quot;/&gt;&lt;wsp:rsid wsp:val=&quot;00AD47A7&quot;/&gt;&lt;wsp:rsid wsp:val=&quot;00AE7120&quot;/&gt;&lt;wsp:rsid wsp:val=&quot;00AF0CBF&quot;/&gt;&lt;wsp:rsid wsp:val=&quot;00AF1C65&quot;/&gt;&lt;wsp:rsid wsp:val=&quot;00AF1F76&quot;/&gt;&lt;wsp:rsid wsp:val=&quot;00AF257F&quot;/&gt;&lt;wsp:rsid wsp:val=&quot;00AF33CF&quot;/&gt;&lt;wsp:rsid wsp:val=&quot;00AF4D50&quot;/&gt;&lt;wsp:rsid wsp:val=&quot;00AF6179&quot;/&gt;&lt;wsp:rsid wsp:val=&quot;00AF682D&quot;/&gt;&lt;wsp:rsid wsp:val=&quot;00AF77E4&quot;/&gt;&lt;wsp:rsid wsp:val=&quot;00B02D3D&quot;/&gt;&lt;wsp:rsid wsp:val=&quot;00B1295A&quot;/&gt;&lt;wsp:rsid wsp:val=&quot;00B14EE8&quot;/&gt;&lt;wsp:rsid wsp:val=&quot;00B20A45&quot;/&gt;&lt;wsp:rsid wsp:val=&quot;00B21CCB&quot;/&gt;&lt;wsp:rsid wsp:val=&quot;00B22C5C&quot;/&gt;&lt;wsp:rsid wsp:val=&quot;00B23BC0&quot;/&gt;&lt;wsp:rsid wsp:val=&quot;00B24F30&quot;/&gt;&lt;wsp:rsid wsp:val=&quot;00B26845&quot;/&gt;&lt;wsp:rsid wsp:val=&quot;00B3078E&quot;/&gt;&lt;wsp:rsid wsp:val=&quot;00B31469&quot;/&gt;&lt;wsp:rsid wsp:val=&quot;00B31ABF&quot;/&gt;&lt;wsp:rsid wsp:val=&quot;00B32F43&quot;/&gt;&lt;wsp:rsid wsp:val=&quot;00B33BE3&quot;/&gt;&lt;wsp:rsid wsp:val=&quot;00B3792A&quot;/&gt;&lt;wsp:rsid wsp:val=&quot;00B415E2&quot;/&gt;&lt;wsp:rsid wsp:val=&quot;00B50CE7&quot;/&gt;&lt;wsp:rsid wsp:val=&quot;00B5135B&quot;/&gt;&lt;wsp:rsid wsp:val=&quot;00B5393E&quot;/&gt;&lt;wsp:rsid wsp:val=&quot;00B539FB&quot;/&gt;&lt;wsp:rsid wsp:val=&quot;00B53B5D&quot;/&gt;&lt;wsp:rsid wsp:val=&quot;00B5479C&quot;/&gt;&lt;wsp:rsid wsp:val=&quot;00B554B6&quot;/&gt;&lt;wsp:rsid wsp:val=&quot;00B55965&quot;/&gt;&lt;wsp:rsid wsp:val=&quot;00B5683F&quot;/&gt;&lt;wsp:rsid wsp:val=&quot;00B56BAE&quot;/&gt;&lt;wsp:rsid wsp:val=&quot;00B6055E&quot;/&gt;&lt;wsp:rsid wsp:val=&quot;00B60F59&quot;/&gt;&lt;wsp:rsid wsp:val=&quot;00B62DAE&quot;/&gt;&lt;wsp:rsid wsp:val=&quot;00B6317D&quot;/&gt;&lt;wsp:rsid wsp:val=&quot;00B6388A&quot;/&gt;&lt;wsp:rsid wsp:val=&quot;00B64649&quot;/&gt;&lt;wsp:rsid wsp:val=&quot;00B66E34&quot;/&gt;&lt;wsp:rsid wsp:val=&quot;00B72138&quot;/&gt;&lt;wsp:rsid wsp:val=&quot;00B72515&quot;/&gt;&lt;wsp:rsid wsp:val=&quot;00B73083&quot;/&gt;&lt;wsp:rsid wsp:val=&quot;00B744A2&quot;/&gt;&lt;wsp:rsid wsp:val=&quot;00B746D7&quot;/&gt;&lt;wsp:rsid wsp:val=&quot;00B76030&quot;/&gt;&lt;wsp:rsid wsp:val=&quot;00B7723F&quot;/&gt;&lt;wsp:rsid wsp:val=&quot;00B77DF0&quot;/&gt;&lt;wsp:rsid wsp:val=&quot;00B77E96&quot;/&gt;&lt;wsp:rsid wsp:val=&quot;00B80534&quot;/&gt;&lt;wsp:rsid wsp:val=&quot;00B807F0&quot;/&gt;&lt;wsp:rsid wsp:val=&quot;00B808FE&quot;/&gt;&lt;wsp:rsid wsp:val=&quot;00B8115D&quot;/&gt;&lt;wsp:rsid wsp:val=&quot;00B821C3&quot;/&gt;&lt;wsp:rsid wsp:val=&quot;00B8433C&quot;/&gt;&lt;wsp:rsid wsp:val=&quot;00B87491&quot;/&gt;&lt;wsp:rsid wsp:val=&quot;00B90167&quot;/&gt;&lt;wsp:rsid wsp:val=&quot;00B941CB&quot;/&gt;&lt;wsp:rsid wsp:val=&quot;00BA29E9&quot;/&gt;&lt;wsp:rsid wsp:val=&quot;00BA5936&quot;/&gt;&lt;wsp:rsid wsp:val=&quot;00BA7142&quot;/&gt;&lt;wsp:rsid wsp:val=&quot;00BB157F&quot;/&gt;&lt;wsp:rsid wsp:val=&quot;00BB237C&quot;/&gt;&lt;wsp:rsid wsp:val=&quot;00BB3FFE&quot;/&gt;&lt;wsp:rsid wsp:val=&quot;00BB41A3&quot;/&gt;&lt;wsp:rsid wsp:val=&quot;00BB4F01&quot;/&gt;&lt;wsp:rsid wsp:val=&quot;00BC157F&quot;/&gt;&lt;wsp:rsid wsp:val=&quot;00BC32DC&quot;/&gt;&lt;wsp:rsid wsp:val=&quot;00BC35B6&quot;/&gt;&lt;wsp:rsid wsp:val=&quot;00BC43A6&quot;/&gt;&lt;wsp:rsid wsp:val=&quot;00BC447F&quot;/&gt;&lt;wsp:rsid wsp:val=&quot;00BC4570&quot;/&gt;&lt;wsp:rsid wsp:val=&quot;00BC4E43&quot;/&gt;&lt;wsp:rsid wsp:val=&quot;00BD03C0&quot;/&gt;&lt;wsp:rsid wsp:val=&quot;00BD0774&quot;/&gt;&lt;wsp:rsid wsp:val=&quot;00BD1B51&quot;/&gt;&lt;wsp:rsid wsp:val=&quot;00BD238E&quot;/&gt;&lt;wsp:rsid wsp:val=&quot;00BD4596&quot;/&gt;&lt;wsp:rsid wsp:val=&quot;00BD4CD6&quot;/&gt;&lt;wsp:rsid wsp:val=&quot;00BE0135&quot;/&gt;&lt;wsp:rsid wsp:val=&quot;00BE0E4E&quot;/&gt;&lt;wsp:rsid wsp:val=&quot;00BE1405&quot;/&gt;&lt;wsp:rsid wsp:val=&quot;00BE312D&quot;/&gt;&lt;wsp:rsid wsp:val=&quot;00BE44D6&quot;/&gt;&lt;wsp:rsid wsp:val=&quot;00BE695A&quot;/&gt;&lt;wsp:rsid wsp:val=&quot;00BF0686&quot;/&gt;&lt;wsp:rsid wsp:val=&quot;00BF1C20&quot;/&gt;&lt;wsp:rsid wsp:val=&quot;00BF5AA4&quot;/&gt;&lt;wsp:rsid wsp:val=&quot;00BF5BBE&quot;/&gt;&lt;wsp:rsid wsp:val=&quot;00BF6534&quot;/&gt;&lt;wsp:rsid wsp:val=&quot;00BF6ACC&quot;/&gt;&lt;wsp:rsid wsp:val=&quot;00BF72F2&quot;/&gt;&lt;wsp:rsid wsp:val=&quot;00C10578&quot;/&gt;&lt;wsp:rsid wsp:val=&quot;00C135BC&quot;/&gt;&lt;wsp:rsid wsp:val=&quot;00C15C95&quot;/&gt;&lt;wsp:rsid wsp:val=&quot;00C21085&quot;/&gt;&lt;wsp:rsid wsp:val=&quot;00C2276E&quot;/&gt;&lt;wsp:rsid wsp:val=&quot;00C23EE6&quot;/&gt;&lt;wsp:rsid wsp:val=&quot;00C2596A&quot;/&gt;&lt;wsp:rsid wsp:val=&quot;00C27537&quot;/&gt;&lt;wsp:rsid wsp:val=&quot;00C328FE&quot;/&gt;&lt;wsp:rsid wsp:val=&quot;00C33507&quot;/&gt;&lt;wsp:rsid wsp:val=&quot;00C34BD9&quot;/&gt;&lt;wsp:rsid wsp:val=&quot;00C3542B&quot;/&gt;&lt;wsp:rsid wsp:val=&quot;00C4185E&quot;/&gt;&lt;wsp:rsid wsp:val=&quot;00C4409D&quot;/&gt;&lt;wsp:rsid wsp:val=&quot;00C44E72&quot;/&gt;&lt;wsp:rsid wsp:val=&quot;00C45A06&quot;/&gt;&lt;wsp:rsid wsp:val=&quot;00C47E5B&quot;/&gt;&lt;wsp:rsid wsp:val=&quot;00C50584&quot;/&gt;&lt;wsp:rsid wsp:val=&quot;00C53B0A&quot;/&gt;&lt;wsp:rsid wsp:val=&quot;00C54AE7&quot;/&gt;&lt;wsp:rsid wsp:val=&quot;00C56E24&quot;/&gt;&lt;wsp:rsid wsp:val=&quot;00C570C1&quot;/&gt;&lt;wsp:rsid wsp:val=&quot;00C61E4B&quot;/&gt;&lt;wsp:rsid wsp:val=&quot;00C62D0F&quot;/&gt;&lt;wsp:rsid wsp:val=&quot;00C64BFF&quot;/&gt;&lt;wsp:rsid wsp:val=&quot;00C66E79&quot;/&gt;&lt;wsp:rsid wsp:val=&quot;00C6706D&quot;/&gt;&lt;wsp:rsid wsp:val=&quot;00C704E9&quot;/&gt;&lt;wsp:rsid wsp:val=&quot;00C75896&quot;/&gt;&lt;wsp:rsid wsp:val=&quot;00C75B5B&quot;/&gt;&lt;wsp:rsid wsp:val=&quot;00C763C9&quot;/&gt;&lt;wsp:rsid wsp:val=&quot;00C764EA&quot;/&gt;&lt;wsp:rsid wsp:val=&quot;00C80057&quot;/&gt;&lt;wsp:rsid wsp:val=&quot;00C82203&quot;/&gt;&lt;wsp:rsid wsp:val=&quot;00C82232&quot;/&gt;&lt;wsp:rsid wsp:val=&quot;00C82913&quot;/&gt;&lt;wsp:rsid wsp:val=&quot;00C8308E&quot;/&gt;&lt;wsp:rsid wsp:val=&quot;00C905B8&quot;/&gt;&lt;wsp:rsid wsp:val=&quot;00C94307&quot;/&gt;&lt;wsp:rsid wsp:val=&quot;00C972B1&quot;/&gt;&lt;wsp:rsid wsp:val=&quot;00CA0F46&quot;/&gt;&lt;wsp:rsid wsp:val=&quot;00CA2CCE&quot;/&gt;&lt;wsp:rsid wsp:val=&quot;00CA43FD&quot;/&gt;&lt;wsp:rsid wsp:val=&quot;00CA4D30&quot;/&gt;&lt;wsp:rsid wsp:val=&quot;00CA5F79&quot;/&gt;&lt;wsp:rsid wsp:val=&quot;00CA7EF8&quot;/&gt;&lt;wsp:rsid wsp:val=&quot;00CB3792&quot;/&gt;&lt;wsp:rsid wsp:val=&quot;00CB7679&quot;/&gt;&lt;wsp:rsid wsp:val=&quot;00CC489B&quot;/&gt;&lt;wsp:rsid wsp:val=&quot;00CD2BCD&quot;/&gt;&lt;wsp:rsid wsp:val=&quot;00CD3A4C&quot;/&gt;&lt;wsp:rsid wsp:val=&quot;00CD55B3&quot;/&gt;&lt;wsp:rsid wsp:val=&quot;00CD7F2A&quot;/&gt;&lt;wsp:rsid wsp:val=&quot;00CE10E9&quot;/&gt;&lt;wsp:rsid wsp:val=&quot;00CE1C37&quot;/&gt;&lt;wsp:rsid wsp:val=&quot;00CE2910&quot;/&gt;&lt;wsp:rsid wsp:val=&quot;00CE3BDC&quot;/&gt;&lt;wsp:rsid wsp:val=&quot;00CE5393&quot;/&gt;&lt;wsp:rsid wsp:val=&quot;00CF36BE&quot;/&gt;&lt;wsp:rsid wsp:val=&quot;00CF4C1C&quot;/&gt;&lt;wsp:rsid wsp:val=&quot;00CF6000&quot;/&gt;&lt;wsp:rsid wsp:val=&quot;00CF77C7&quot;/&gt;&lt;wsp:rsid wsp:val=&quot;00D003F3&quot;/&gt;&lt;wsp:rsid wsp:val=&quot;00D0105E&quot;/&gt;&lt;wsp:rsid wsp:val=&quot;00D030C4&quot;/&gt;&lt;wsp:rsid wsp:val=&quot;00D0364F&quot;/&gt;&lt;wsp:rsid wsp:val=&quot;00D041B3&quot;/&gt;&lt;wsp:rsid wsp:val=&quot;00D06834&quot;/&gt;&lt;wsp:rsid wsp:val=&quot;00D11489&quot;/&gt;&lt;wsp:rsid wsp:val=&quot;00D13021&quot;/&gt;&lt;wsp:rsid wsp:val=&quot;00D14034&quot;/&gt;&lt;wsp:rsid wsp:val=&quot;00D1411C&quot;/&gt;&lt;wsp:rsid wsp:val=&quot;00D149A7&quot;/&gt;&lt;wsp:rsid wsp:val=&quot;00D15D5D&quot;/&gt;&lt;wsp:rsid wsp:val=&quot;00D236DF&quot;/&gt;&lt;wsp:rsid wsp:val=&quot;00D24D74&quot;/&gt;&lt;wsp:rsid wsp:val=&quot;00D308ED&quot;/&gt;&lt;wsp:rsid wsp:val=&quot;00D31D74&quot;/&gt;&lt;wsp:rsid wsp:val=&quot;00D31EFA&quot;/&gt;&lt;wsp:rsid wsp:val=&quot;00D34006&quot;/&gt;&lt;wsp:rsid wsp:val=&quot;00D3623C&quot;/&gt;&lt;wsp:rsid wsp:val=&quot;00D36D86&quot;/&gt;&lt;wsp:rsid wsp:val=&quot;00D4090D&quot;/&gt;&lt;wsp:rsid wsp:val=&quot;00D428AA&quot;/&gt;&lt;wsp:rsid wsp:val=&quot;00D46809&quot;/&gt;&lt;wsp:rsid wsp:val=&quot;00D46E8A&quot;/&gt;&lt;wsp:rsid wsp:val=&quot;00D508CA&quot;/&gt;&lt;wsp:rsid wsp:val=&quot;00D50A34&quot;/&gt;&lt;wsp:rsid wsp:val=&quot;00D53EFA&quot;/&gt;&lt;wsp:rsid wsp:val=&quot;00D56C5C&quot;/&gt;&lt;wsp:rsid wsp:val=&quot;00D6354C&quot;/&gt;&lt;wsp:rsid wsp:val=&quot;00D647F7&quot;/&gt;&lt;wsp:rsid wsp:val=&quot;00D65864&quot;/&gt;&lt;wsp:rsid wsp:val=&quot;00D669C5&quot;/&gt;&lt;wsp:rsid wsp:val=&quot;00D70CC7&quot;/&gt;&lt;wsp:rsid wsp:val=&quot;00D7405F&quot;/&gt;&lt;wsp:rsid wsp:val=&quot;00D760BE&quot;/&gt;&lt;wsp:rsid wsp:val=&quot;00D80141&quot;/&gt;&lt;wsp:rsid wsp:val=&quot;00D858AE&quot;/&gt;&lt;wsp:rsid wsp:val=&quot;00D85B52&quot;/&gt;&lt;wsp:rsid wsp:val=&quot;00D94A7C&quot;/&gt;&lt;wsp:rsid wsp:val=&quot;00D95896&quot;/&gt;&lt;wsp:rsid wsp:val=&quot;00DA2A8A&quot;/&gt;&lt;wsp:rsid wsp:val=&quot;00DA3BD2&quot;/&gt;&lt;wsp:rsid wsp:val=&quot;00DA5131&quot;/&gt;&lt;wsp:rsid wsp:val=&quot;00DB2983&quot;/&gt;&lt;wsp:rsid wsp:val=&quot;00DB31A8&quot;/&gt;&lt;wsp:rsid wsp:val=&quot;00DC0CAC&quot;/&gt;&lt;wsp:rsid wsp:val=&quot;00DC1257&quot;/&gt;&lt;wsp:rsid wsp:val=&quot;00DC3DC0&quot;/&gt;&lt;wsp:rsid wsp:val=&quot;00DC5B2B&quot;/&gt;&lt;wsp:rsid wsp:val=&quot;00DD318D&quot;/&gt;&lt;wsp:rsid wsp:val=&quot;00DD465F&quot;/&gt;&lt;wsp:rsid wsp:val=&quot;00DD7D79&quot;/&gt;&lt;wsp:rsid wsp:val=&quot;00DE2252&quot;/&gt;&lt;wsp:rsid wsp:val=&quot;00DE3532&quot;/&gt;&lt;wsp:rsid wsp:val=&quot;00DE3F18&quot;/&gt;&lt;wsp:rsid wsp:val=&quot;00DE43DF&quot;/&gt;&lt;wsp:rsid wsp:val=&quot;00DE4B28&quot;/&gt;&lt;wsp:rsid wsp:val=&quot;00DE5E85&quot;/&gt;&lt;wsp:rsid wsp:val=&quot;00DE658A&quot;/&gt;&lt;wsp:rsid wsp:val=&quot;00DF1F4B&quot;/&gt;&lt;wsp:rsid wsp:val=&quot;00DF2E12&quot;/&gt;&lt;wsp:rsid wsp:val=&quot;00DF514A&quot;/&gt;&lt;wsp:rsid wsp:val=&quot;00DF5A7B&quot;/&gt;&lt;wsp:rsid wsp:val=&quot;00DF643A&quot;/&gt;&lt;wsp:rsid wsp:val=&quot;00DF6690&quot;/&gt;&lt;wsp:rsid wsp:val=&quot;00DF6804&quot;/&gt;&lt;wsp:rsid wsp:val=&quot;00E02A4B&quot;/&gt;&lt;wsp:rsid wsp:val=&quot;00E031D0&quot;/&gt;&lt;wsp:rsid wsp:val=&quot;00E0358D&quot;/&gt;&lt;wsp:rsid wsp:val=&quot;00E04323&quot;/&gt;&lt;wsp:rsid wsp:val=&quot;00E04B50&quot;/&gt;&lt;wsp:rsid wsp:val=&quot;00E05D23&quot;/&gt;&lt;wsp:rsid wsp:val=&quot;00E070A2&quot;/&gt;&lt;wsp:rsid wsp:val=&quot;00E07442&quot;/&gt;&lt;wsp:rsid wsp:val=&quot;00E0792C&quot;/&gt;&lt;wsp:rsid wsp:val=&quot;00E21A2A&quot;/&gt;&lt;wsp:rsid wsp:val=&quot;00E22785&quot;/&gt;&lt;wsp:rsid wsp:val=&quot;00E231EC&quot;/&gt;&lt;wsp:rsid wsp:val=&quot;00E2514D&quot;/&gt;&lt;wsp:rsid wsp:val=&quot;00E2561E&quot;/&gt;&lt;wsp:rsid wsp:val=&quot;00E262A6&quot;/&gt;&lt;wsp:rsid wsp:val=&quot;00E2656A&quot;/&gt;&lt;wsp:rsid wsp:val=&quot;00E27165&quot;/&gt;&lt;wsp:rsid wsp:val=&quot;00E27903&quot;/&gt;&lt;wsp:rsid wsp:val=&quot;00E30A67&quot;/&gt;&lt;wsp:rsid wsp:val=&quot;00E31FD2&quot;/&gt;&lt;wsp:rsid wsp:val=&quot;00E345D4&quot;/&gt;&lt;wsp:rsid wsp:val=&quot;00E34F30&quot;/&gt;&lt;wsp:rsid wsp:val=&quot;00E35B6B&quot;/&gt;&lt;wsp:rsid wsp:val=&quot;00E36EE1&quot;/&gt;&lt;wsp:rsid wsp:val=&quot;00E40594&quot;/&gt;&lt;wsp:rsid wsp:val=&quot;00E412D0&quot;/&gt;&lt;wsp:rsid wsp:val=&quot;00E46233&quot;/&gt;&lt;wsp:rsid wsp:val=&quot;00E50F6D&quot;/&gt;&lt;wsp:rsid wsp:val=&quot;00E55F57&quot;/&gt;&lt;wsp:rsid wsp:val=&quot;00E56322&quot;/&gt;&lt;wsp:rsid wsp:val=&quot;00E566CD&quot;/&gt;&lt;wsp:rsid wsp:val=&quot;00E60193&quot;/&gt;&lt;wsp:rsid wsp:val=&quot;00E60982&quot;/&gt;&lt;wsp:rsid wsp:val=&quot;00E61311&quot;/&gt;&lt;wsp:rsid wsp:val=&quot;00E62A48&quot;/&gt;&lt;wsp:rsid wsp:val=&quot;00E62C62&quot;/&gt;&lt;wsp:rsid wsp:val=&quot;00E644F1&quot;/&gt;&lt;wsp:rsid wsp:val=&quot;00E646C6&quot;/&gt;&lt;wsp:rsid wsp:val=&quot;00E654C1&quot;/&gt;&lt;wsp:rsid wsp:val=&quot;00E65D97&quot;/&gt;&lt;wsp:rsid wsp:val=&quot;00E66A25&quot;/&gt;&lt;wsp:rsid wsp:val=&quot;00E70071&quot;/&gt;&lt;wsp:rsid wsp:val=&quot;00E7147E&quot;/&gt;&lt;wsp:rsid wsp:val=&quot;00E72A5A&quot;/&gt;&lt;wsp:rsid wsp:val=&quot;00E73354&quot;/&gt;&lt;wsp:rsid wsp:val=&quot;00E766E3&quot;/&gt;&lt;wsp:rsid wsp:val=&quot;00E83230&quot;/&gt;&lt;wsp:rsid wsp:val=&quot;00E843F7&quot;/&gt;&lt;wsp:rsid wsp:val=&quot;00E87B3F&quot;/&gt;&lt;wsp:rsid wsp:val=&quot;00E914A0&quot;/&gt;&lt;wsp:rsid wsp:val=&quot;00E9242D&quot;/&gt;&lt;wsp:rsid wsp:val=&quot;00E972A1&quot;/&gt;&lt;wsp:rsid wsp:val=&quot;00EA00E0&quot;/&gt;&lt;wsp:rsid wsp:val=&quot;00EA0209&quot;/&gt;&lt;wsp:rsid wsp:val=&quot;00EB4EAD&quot;/&gt;&lt;wsp:rsid wsp:val=&quot;00EB5255&quot;/&gt;&lt;wsp:rsid wsp:val=&quot;00EB5C47&quot;/&gt;&lt;wsp:rsid wsp:val=&quot;00EC02CF&quot;/&gt;&lt;wsp:rsid wsp:val=&quot;00EC6CFD&quot;/&gt;&lt;wsp:rsid wsp:val=&quot;00ED0639&quot;/&gt;&lt;wsp:rsid wsp:val=&quot;00ED0BAE&quot;/&gt;&lt;wsp:rsid wsp:val=&quot;00ED41B1&quot;/&gt;&lt;wsp:rsid wsp:val=&quot;00EE3F01&quot;/&gt;&lt;wsp:rsid wsp:val=&quot;00EE4923&quot;/&gt;&lt;wsp:rsid wsp:val=&quot;00EF1793&quot;/&gt;&lt;wsp:rsid wsp:val=&quot;00EF4755&quot;/&gt;&lt;wsp:rsid wsp:val=&quot;00EF7135&quot;/&gt;&lt;wsp:rsid wsp:val=&quot;00F02438&quot;/&gt;&lt;wsp:rsid wsp:val=&quot;00F027DB&quot;/&gt;&lt;wsp:rsid wsp:val=&quot;00F02B7E&quot;/&gt;&lt;wsp:rsid wsp:val=&quot;00F037B7&quot;/&gt;&lt;wsp:rsid wsp:val=&quot;00F05A74&quot;/&gt;&lt;wsp:rsid wsp:val=&quot;00F05A86&quot;/&gt;&lt;wsp:rsid wsp:val=&quot;00F107DA&quot;/&gt;&lt;wsp:rsid wsp:val=&quot;00F10BDC&quot;/&gt;&lt;wsp:rsid wsp:val=&quot;00F11230&quot;/&gt;&lt;wsp:rsid wsp:val=&quot;00F12294&quot;/&gt;&lt;wsp:rsid wsp:val=&quot;00F14778&quot;/&gt;&lt;wsp:rsid wsp:val=&quot;00F14A7A&quot;/&gt;&lt;wsp:rsid wsp:val=&quot;00F160E0&quot;/&gt;&lt;wsp:rsid wsp:val=&quot;00F16CEE&quot;/&gt;&lt;wsp:rsid wsp:val=&quot;00F176C6&quot;/&gt;&lt;wsp:rsid wsp:val=&quot;00F21F75&quot;/&gt;&lt;wsp:rsid wsp:val=&quot;00F2254B&quot;/&gt;&lt;wsp:rsid wsp:val=&quot;00F22985&quot;/&gt;&lt;wsp:rsid wsp:val=&quot;00F24760&quot;/&gt;&lt;wsp:rsid wsp:val=&quot;00F2663F&quot;/&gt;&lt;wsp:rsid wsp:val=&quot;00F26662&quot;/&gt;&lt;wsp:rsid wsp:val=&quot;00F277FF&quot;/&gt;&lt;wsp:rsid wsp:val=&quot;00F30194&quot;/&gt;&lt;wsp:rsid wsp:val=&quot;00F30329&quot;/&gt;&lt;wsp:rsid wsp:val=&quot;00F30FD9&quot;/&gt;&lt;wsp:rsid wsp:val=&quot;00F32324&quot;/&gt;&lt;wsp:rsid wsp:val=&quot;00F33172&quot;/&gt;&lt;wsp:rsid wsp:val=&quot;00F3383E&quot;/&gt;&lt;wsp:rsid wsp:val=&quot;00F409BC&quot;/&gt;&lt;wsp:rsid wsp:val=&quot;00F44A78&quot;/&gt;&lt;wsp:rsid wsp:val=&quot;00F465A7&quot;/&gt;&lt;wsp:rsid wsp:val=&quot;00F50B7C&quot;/&gt;&lt;wsp:rsid wsp:val=&quot;00F51F3B&quot;/&gt;&lt;wsp:rsid wsp:val=&quot;00F526F8&quot;/&gt;&lt;wsp:rsid wsp:val=&quot;00F532C2&quot;/&gt;&lt;wsp:rsid wsp:val=&quot;00F550E6&quot;/&gt;&lt;wsp:rsid wsp:val=&quot;00F604F6&quot;/&gt;&lt;wsp:rsid wsp:val=&quot;00F66E2A&quot;/&gt;&lt;wsp:rsid wsp:val=&quot;00F66F48&quot;/&gt;&lt;wsp:rsid wsp:val=&quot;00F726A9&quot;/&gt;&lt;wsp:rsid wsp:val=&quot;00F734EB&quot;/&gt;&lt;wsp:rsid wsp:val=&quot;00F74345&quot;/&gt;&lt;wsp:rsid wsp:val=&quot;00F74CC6&quot;/&gt;&lt;wsp:rsid wsp:val=&quot;00F775FB&quot;/&gt;&lt;wsp:rsid wsp:val=&quot;00F77F00&quot;/&gt;&lt;wsp:rsid wsp:val=&quot;00F80A0A&quot;/&gt;&lt;wsp:rsid wsp:val=&quot;00F81D98&quot;/&gt;&lt;wsp:rsid wsp:val=&quot;00F8234E&quot;/&gt;&lt;wsp:rsid wsp:val=&quot;00F82B19&quot;/&gt;&lt;wsp:rsid wsp:val=&quot;00F83293&quot;/&gt;&lt;wsp:rsid wsp:val=&quot;00F841E8&quot;/&gt;&lt;wsp:rsid wsp:val=&quot;00F84523&quot;/&gt;&lt;wsp:rsid wsp:val=&quot;00F84C02&quot;/&gt;&lt;wsp:rsid wsp:val=&quot;00F857D8&quot;/&gt;&lt;wsp:rsid wsp:val=&quot;00F86F8A&quot;/&gt;&lt;wsp:rsid wsp:val=&quot;00F903B7&quot;/&gt;&lt;wsp:rsid wsp:val=&quot;00F906F5&quot;/&gt;&lt;wsp:rsid wsp:val=&quot;00F9212D&quot;/&gt;&lt;wsp:rsid wsp:val=&quot;00F9375C&quot;/&gt;&lt;wsp:rsid wsp:val=&quot;00F93761&quot;/&gt;&lt;wsp:rsid wsp:val=&quot;00F941D3&quot;/&gt;&lt;wsp:rsid wsp:val=&quot;00F94443&quot;/&gt;&lt;wsp:rsid wsp:val=&quot;00F94DE7&quot;/&gt;&lt;wsp:rsid wsp:val=&quot;00F965DA&quot;/&gt;&lt;wsp:rsid wsp:val=&quot;00F975D3&quot;/&gt;&lt;wsp:rsid wsp:val=&quot;00F97F5F&quot;/&gt;&lt;wsp:rsid wsp:val=&quot;00FA0AC7&quot;/&gt;&lt;wsp:rsid wsp:val=&quot;00FA0DA8&quot;/&gt;&lt;wsp:rsid wsp:val=&quot;00FA3FD3&quot;/&gt;&lt;wsp:rsid wsp:val=&quot;00FA406A&quot;/&gt;&lt;wsp:rsid wsp:val=&quot;00FA43D4&quot;/&gt;&lt;wsp:rsid wsp:val=&quot;00FA4839&quot;/&gt;&lt;wsp:rsid wsp:val=&quot;00FA7525&quot;/&gt;&lt;wsp:rsid wsp:val=&quot;00FB0FA5&quot;/&gt;&lt;wsp:rsid wsp:val=&quot;00FB1683&quot;/&gt;&lt;wsp:rsid wsp:val=&quot;00FB503A&quot;/&gt;&lt;wsp:rsid wsp:val=&quot;00FB516C&quot;/&gt;&lt;wsp:rsid wsp:val=&quot;00FB5964&quot;/&gt;&lt;wsp:rsid wsp:val=&quot;00FB660C&quot;/&gt;&lt;wsp:rsid wsp:val=&quot;00FC3C6A&quot;/&gt;&lt;wsp:rsid wsp:val=&quot;00FC55BC&quot;/&gt;&lt;wsp:rsid wsp:val=&quot;00FC575C&quot;/&gt;&lt;wsp:rsid wsp:val=&quot;00FD0236&quot;/&gt;&lt;wsp:rsid wsp:val=&quot;00FD18F4&quot;/&gt;&lt;wsp:rsid wsp:val=&quot;00FD1D2F&quot;/&gt;&lt;wsp:rsid wsp:val=&quot;00FD2337&quot;/&gt;&lt;wsp:rsid wsp:val=&quot;00FD54DB&quot;/&gt;&lt;wsp:rsid wsp:val=&quot;00FD619F&quot;/&gt;&lt;wsp:rsid wsp:val=&quot;00FE16A3&quot;/&gt;&lt;wsp:rsid wsp:val=&quot;00FE19DC&quot;/&gt;&lt;wsp:rsid wsp:val=&quot;00FE2048&quot;/&gt;&lt;wsp:rsid wsp:val=&quot;00FE5838&quot;/&gt;&lt;wsp:rsid wsp:val=&quot;00FE7412&quot;/&gt;&lt;wsp:rsid wsp:val=&quot;00FF0E21&quot;/&gt;&lt;wsp:rsid wsp:val=&quot;00FF45D0&quot;/&gt;&lt;wsp:rsid wsp:val=&quot;01290F7E&quot;/&gt;&lt;wsp:rsid wsp:val=&quot;015D1E09&quot;/&gt;&lt;wsp:rsid wsp:val=&quot;01753746&quot;/&gt;&lt;wsp:rsid wsp:val=&quot;01886C6F&quot;/&gt;&lt;wsp:rsid wsp:val=&quot;018C7910&quot;/&gt;&lt;wsp:rsid wsp:val=&quot;019F3B30&quot;/&gt;&lt;wsp:rsid wsp:val=&quot;01AD0A5B&quot;/&gt;&lt;wsp:rsid wsp:val=&quot;021F7F58&quot;/&gt;&lt;wsp:rsid wsp:val=&quot;022E3AC6&quot;/&gt;&lt;wsp:rsid wsp:val=&quot;02534ED4&quot;/&gt;&lt;wsp:rsid wsp:val=&quot;02697903&quot;/&gt;&lt;wsp:rsid wsp:val=&quot;02821A69&quot;/&gt;&lt;wsp:rsid wsp:val=&quot;02EE51B0&quot;/&gt;&lt;wsp:rsid wsp:val=&quot;02F96569&quot;/&gt;&lt;wsp:rsid wsp:val=&quot;03723129&quot;/&gt;&lt;wsp:rsid wsp:val=&quot;03DA6CFE&quot;/&gt;&lt;wsp:rsid wsp:val=&quot;03EA7B21&quot;/&gt;&lt;wsp:rsid wsp:val=&quot;040354C1&quot;/&gt;&lt;wsp:rsid wsp:val=&quot;047C3C16&quot;/&gt;&lt;wsp:rsid wsp:val=&quot;0496791B&quot;/&gt;&lt;wsp:rsid wsp:val=&quot;04E349EC&quot;/&gt;&lt;wsp:rsid wsp:val=&quot;05361690&quot;/&gt;&lt;wsp:rsid wsp:val=&quot;054E7B36&quot;/&gt;&lt;wsp:rsid wsp:val=&quot;058D172D&quot;/&gt;&lt;wsp:rsid wsp:val=&quot;05F83EAE&quot;/&gt;&lt;wsp:rsid wsp:val=&quot;06253F47&quot;/&gt;&lt;wsp:rsid wsp:val=&quot;063E7D85&quot;/&gt;&lt;wsp:rsid wsp:val=&quot;06AF5C5B&quot;/&gt;&lt;wsp:rsid wsp:val=&quot;06C17066&quot;/&gt;&lt;wsp:rsid wsp:val=&quot;06D465A1&quot;/&gt;&lt;wsp:rsid wsp:val=&quot;07293586&quot;/&gt;&lt;wsp:rsid wsp:val=&quot;07295285&quot;/&gt;&lt;wsp:rsid wsp:val=&quot;07636392&quot;/&gt;&lt;wsp:rsid wsp:val=&quot;076E21B0&quot;/&gt;&lt;wsp:rsid wsp:val=&quot;0775167C&quot;/&gt;&lt;wsp:rsid wsp:val=&quot;07770C56&quot;/&gt;&lt;wsp:rsid wsp:val=&quot;07852DBD&quot;/&gt;&lt;wsp:rsid wsp:val=&quot;07CD6AF7&quot;/&gt;&lt;wsp:rsid wsp:val=&quot;07CF4038&quot;/&gt;&lt;wsp:rsid wsp:val=&quot;07EF54F7&quot;/&gt;&lt;wsp:rsid wsp:val=&quot;08391C14&quot;/&gt;&lt;wsp:rsid wsp:val=&quot;086929F5&quot;/&gt;&lt;wsp:rsid wsp:val=&quot;087C05B2&quot;/&gt;&lt;wsp:rsid wsp:val=&quot;0882554E&quot;/&gt;&lt;wsp:rsid wsp:val=&quot;089E66F4&quot;/&gt;&lt;wsp:rsid wsp:val=&quot;08DA60EF&quot;/&gt;&lt;wsp:rsid wsp:val=&quot;0909481F&quot;/&gt;&lt;wsp:rsid wsp:val=&quot;092217DD&quot;/&gt;&lt;wsp:rsid wsp:val=&quot;093A7294&quot;/&gt;&lt;wsp:rsid wsp:val=&quot;09491BC8&quot;/&gt;&lt;wsp:rsid wsp:val=&quot;096E1B78&quot;/&gt;&lt;wsp:rsid wsp:val=&quot;098B2E89&quot;/&gt;&lt;wsp:rsid wsp:val=&quot;09A247B3&quot;/&gt;&lt;wsp:rsid wsp:val=&quot;09A32B0F&quot;/&gt;&lt;wsp:rsid wsp:val=&quot;09BB5D90&quot;/&gt;&lt;wsp:rsid wsp:val=&quot;0A0D622F&quot;/&gt;&lt;wsp:rsid wsp:val=&quot;0A263993&quot;/&gt;&lt;wsp:rsid wsp:val=&quot;0A265078&quot;/&gt;&lt;wsp:rsid wsp:val=&quot;0A2D3AC2&quot;/&gt;&lt;wsp:rsid wsp:val=&quot;0A710725&quot;/&gt;&lt;wsp:rsid wsp:val=&quot;0A825EE0&quot;/&gt;&lt;wsp:rsid wsp:val=&quot;0AA755DF&quot;/&gt;&lt;wsp:rsid wsp:val=&quot;0AAC68B2&quot;/&gt;&lt;wsp:rsid wsp:val=&quot;0ADE47DF&quot;/&gt;&lt;wsp:rsid wsp:val=&quot;0B120D44&quot;/&gt;&lt;wsp:rsid wsp:val=&quot;0B415BEC&quot;/&gt;&lt;wsp:rsid wsp:val=&quot;0B567948&quot;/&gt;&lt;wsp:rsid wsp:val=&quot;0BA11E4E&quot;/&gt;&lt;wsp:rsid wsp:val=&quot;0BD27BF6&quot;/&gt;&lt;wsp:rsid wsp:val=&quot;0C1C357A&quot;/&gt;&lt;wsp:rsid wsp:val=&quot;0C30382F&quot;/&gt;&lt;wsp:rsid wsp:val=&quot;0C3B3C7D&quot;/&gt;&lt;wsp:rsid wsp:val=&quot;0C6E44FE&quot;/&gt;&lt;wsp:rsid wsp:val=&quot;0C7D1185&quot;/&gt;&lt;wsp:rsid wsp:val=&quot;0CA453B9&quot;/&gt;&lt;wsp:rsid wsp:val=&quot;0CAB2EAE&quot;/&gt;&lt;wsp:rsid wsp:val=&quot;0CE827FC&quot;/&gt;&lt;wsp:rsid wsp:val=&quot;0CEB16C8&quot;/&gt;&lt;wsp:rsid wsp:val=&quot;0CEE165D&quot;/&gt;&lt;wsp:rsid wsp:val=&quot;0D3130BF&quot;/&gt;&lt;wsp:rsid wsp:val=&quot;0D621C7D&quot;/&gt;&lt;wsp:rsid wsp:val=&quot;0D8C3822&quot;/&gt;&lt;wsp:rsid wsp:val=&quot;0E2660EF&quot;/&gt;&lt;wsp:rsid wsp:val=&quot;0E5928AD&quot;/&gt;&lt;wsp:rsid wsp:val=&quot;0E6B438E&quot;/&gt;&lt;wsp:rsid wsp:val=&quot;0E715598&quot;/&gt;&lt;wsp:rsid wsp:val=&quot;0E73034D&quot;/&gt;&lt;wsp:rsid wsp:val=&quot;0EEB72F3&quot;/&gt;&lt;wsp:rsid wsp:val=&quot;0EED500D&quot;/&gt;&lt;wsp:rsid wsp:val=&quot;0EF425D6&quot;/&gt;&lt;wsp:rsid wsp:val=&quot;0F13775A&quot;/&gt;&lt;wsp:rsid wsp:val=&quot;0F1F5E30&quot;/&gt;&lt;wsp:rsid wsp:val=&quot;0F5F45FE&quot;/&gt;&lt;wsp:rsid wsp:val=&quot;0F9A112B&quot;/&gt;&lt;wsp:rsid wsp:val=&quot;100250BF&quot;/&gt;&lt;wsp:rsid wsp:val=&quot;106D2F64&quot;/&gt;&lt;wsp:rsid wsp:val=&quot;10A2566A&quot;/&gt;&lt;wsp:rsid wsp:val=&quot;10B63710&quot;/&gt;&lt;wsp:rsid wsp:val=&quot;10F10820&quot;/&gt;&lt;wsp:rsid wsp:val=&quot;10F515EE&quot;/&gt;&lt;wsp:rsid wsp:val=&quot;11090198&quot;/&gt;&lt;wsp:rsid wsp:val=&quot;111C2F7A&quot;/&gt;&lt;wsp:rsid wsp:val=&quot;1123404A&quot;/&gt;&lt;wsp:rsid wsp:val=&quot;114A0BD3&quot;/&gt;&lt;wsp:rsid wsp:val=&quot;11571444&quot;/&gt;&lt;wsp:rsid wsp:val=&quot;11665CA1&quot;/&gt;&lt;wsp:rsid wsp:val=&quot;1193641A&quot;/&gt;&lt;wsp:rsid wsp:val=&quot;11CA166E&quot;/&gt;&lt;wsp:rsid wsp:val=&quot;123254A4&quot;/&gt;&lt;wsp:rsid wsp:val=&quot;12997BFF&quot;/&gt;&lt;wsp:rsid wsp:val=&quot;12AC38F3&quot;/&gt;&lt;wsp:rsid wsp:val=&quot;13182D37&quot;/&gt;&lt;wsp:rsid wsp:val=&quot;13951726&quot;/&gt;&lt;wsp:rsid wsp:val=&quot;13970EEA&quot;/&gt;&lt;wsp:rsid wsp:val=&quot;13CB596D&quot;/&gt;&lt;wsp:rsid wsp:val=&quot;13CC3254&quot;/&gt;&lt;wsp:rsid wsp:val=&quot;141B6E1E&quot;/&gt;&lt;wsp:rsid wsp:val=&quot;14220022&quot;/&gt;&lt;wsp:rsid wsp:val=&quot;14396509&quot;/&gt;&lt;wsp:rsid wsp:val=&quot;144C67D2&quot;/&gt;&lt;wsp:rsid wsp:val=&quot;145558C5&quot;/&gt;&lt;wsp:rsid wsp:val=&quot;145850C6&quot;/&gt;&lt;wsp:rsid wsp:val=&quot;14BA6FEF&quot;/&gt;&lt;wsp:rsid wsp:val=&quot;14DD2C3C&quot;/&gt;&lt;wsp:rsid wsp:val=&quot;14EA425F&quot;/&gt;&lt;wsp:rsid wsp:val=&quot;151003FB&quot;/&gt;&lt;wsp:rsid wsp:val=&quot;153463B7&quot;/&gt;&lt;wsp:rsid wsp:val=&quot;15396384&quot;/&gt;&lt;wsp:rsid wsp:val=&quot;15436517&quot;/&gt;&lt;wsp:rsid wsp:val=&quot;154F1FA2&quot;/&gt;&lt;wsp:rsid wsp:val=&quot;158E5532&quot;/&gt;&lt;wsp:rsid wsp:val=&quot;159863B1&quot;/&gt;&lt;wsp:rsid wsp:val=&quot;16087E1D&quot;/&gt;&lt;wsp:rsid wsp:val=&quot;16294CD0&quot;/&gt;&lt;wsp:rsid wsp:val=&quot;16D36F75&quot;/&gt;&lt;wsp:rsid wsp:val=&quot;17127177&quot;/&gt;&lt;wsp:rsid wsp:val=&quot;174B595A&quot;/&gt;&lt;wsp:rsid wsp:val=&quot;174D4F79&quot;/&gt;&lt;wsp:rsid wsp:val=&quot;176F3141&quot;/&gt;&lt;wsp:rsid wsp:val=&quot;17701D14&quot;/&gt;&lt;wsp:rsid wsp:val=&quot;17735226&quot;/&gt;&lt;wsp:rsid wsp:val=&quot;177B3E6B&quot;/&gt;&lt;wsp:rsid wsp:val=&quot;17EE16B8&quot;/&gt;&lt;wsp:rsid wsp:val=&quot;182B3C2C&quot;/&gt;&lt;wsp:rsid wsp:val=&quot;1835327C&quot;/&gt;&lt;wsp:rsid wsp:val=&quot;186143C2&quot;/&gt;&lt;wsp:rsid wsp:val=&quot;189F624C&quot;/&gt;&lt;wsp:rsid wsp:val=&quot;18BF512F&quot;/&gt;&lt;wsp:rsid wsp:val=&quot;18FC7448&quot;/&gt;&lt;wsp:rsid wsp:val=&quot;19022CA3&quot;/&gt;&lt;wsp:rsid wsp:val=&quot;192C2713&quot;/&gt;&lt;wsp:rsid wsp:val=&quot;193F15CB&quot;/&gt;&lt;wsp:rsid wsp:val=&quot;19540841&quot;/&gt;&lt;wsp:rsid wsp:val=&quot;19670574&quot;/&gt;&lt;wsp:rsid wsp:val=&quot;19672D11&quot;/&gt;&lt;wsp:rsid wsp:val=&quot;19817EF8&quot;/&gt;&lt;wsp:rsid wsp:val=&quot;199C0018&quot;/&gt;&lt;wsp:rsid wsp:val=&quot;19ED3447&quot;/&gt;&lt;wsp:rsid wsp:val=&quot;1A0A2A87&quot;/&gt;&lt;wsp:rsid wsp:val=&quot;1A1C66C0&quot;/&gt;&lt;wsp:rsid wsp:val=&quot;1A337F70&quot;/&gt;&lt;wsp:rsid wsp:val=&quot;1A402B73&quot;/&gt;&lt;wsp:rsid wsp:val=&quot;1A42393B&quot;/&gt;&lt;wsp:rsid wsp:val=&quot;1A8663A0&quot;/&gt;&lt;wsp:rsid wsp:val=&quot;1AAD45DE&quot;/&gt;&lt;wsp:rsid wsp:val=&quot;1AC6549B&quot;/&gt;&lt;wsp:rsid wsp:val=&quot;1B046F80&quot;/&gt;&lt;wsp:rsid wsp:val=&quot;1B067919&quot;/&gt;&lt;wsp:rsid wsp:val=&quot;1B171B26&quot;/&gt;&lt;wsp:rsid wsp:val=&quot;1B3267B5&quot;/&gt;&lt;wsp:rsid wsp:val=&quot;1B40161D&quot;/&gt;&lt;wsp:rsid wsp:val=&quot;1B441859&quot;/&gt;&lt;wsp:rsid wsp:val=&quot;1B522B5E&quot;/&gt;&lt;wsp:rsid wsp:val=&quot;1B6606B1&quot;/&gt;&lt;wsp:rsid wsp:val=&quot;1B83540D&quot;/&gt;&lt;wsp:rsid wsp:val=&quot;1BB92689&quot;/&gt;&lt;wsp:rsid wsp:val=&quot;1BDD6308&quot;/&gt;&lt;wsp:rsid wsp:val=&quot;1C170489&quot;/&gt;&lt;wsp:rsid wsp:val=&quot;1C201A78&quot;/&gt;&lt;wsp:rsid wsp:val=&quot;1C5D17BA&quot;/&gt;&lt;wsp:rsid wsp:val=&quot;1C5E7925&quot;/&gt;&lt;wsp:rsid wsp:val=&quot;1C896A53&quot;/&gt;&lt;wsp:rsid wsp:val=&quot;1C9B72E6&quot;/&gt;&lt;wsp:rsid wsp:val=&quot;1CD13F56&quot;/&gt;&lt;wsp:rsid wsp:val=&quot;1CFD070F&quot;/&gt;&lt;wsp:rsid wsp:val=&quot;1D53364D&quot;/&gt;&lt;wsp:rsid wsp:val=&quot;1D5F6196&quot;/&gt;&lt;wsp:rsid wsp:val=&quot;1D6132A5&quot;/&gt;&lt;wsp:rsid wsp:val=&quot;1D8E56D5&quot;/&gt;&lt;wsp:rsid wsp:val=&quot;1DAB47A7&quot;/&gt;&lt;wsp:rsid wsp:val=&quot;1DBA12AF&quot;/&gt;&lt;wsp:rsid wsp:val=&quot;1E05210A&quot;/&gt;&lt;wsp:rsid wsp:val=&quot;1E1B192D&quot;/&gt;&lt;wsp:rsid wsp:val=&quot;1E205195&quot;/&gt;&lt;wsp:rsid wsp:val=&quot;1E465A85&quot;/&gt;&lt;wsp:rsid wsp:val=&quot;1E6A3AB6&quot;/&gt;&lt;wsp:rsid wsp:val=&quot;1E7A43DA&quot;/&gt;&lt;wsp:rsid wsp:val=&quot;1E7E58E4&quot;/&gt;&lt;wsp:rsid wsp:val=&quot;1E91399D&quot;/&gt;&lt;wsp:rsid wsp:val=&quot;1E9811D0&quot;/&gt;&lt;wsp:rsid wsp:val=&quot;1F0F2DA3&quot;/&gt;&lt;wsp:rsid wsp:val=&quot;1F330BC9&quot;/&gt;&lt;wsp:rsid wsp:val=&quot;1FAC1BD6&quot;/&gt;&lt;wsp:rsid wsp:val=&quot;1FC55BF9&quot;/&gt;&lt;wsp:rsid wsp:val=&quot;1FE7539E&quot;/&gt;&lt;wsp:rsid wsp:val=&quot;1FEC3A03&quot;/&gt;&lt;wsp:rsid wsp:val=&quot;201725C8&quot;/&gt;&lt;wsp:rsid wsp:val=&quot;20344257&quot;/&gt;&lt;wsp:rsid wsp:val=&quot;203B6335&quot;/&gt;&lt;wsp:rsid wsp:val=&quot;20586D1B&quot;/&gt;&lt;wsp:rsid wsp:val=&quot;20671BE0&quot;/&gt;&lt;wsp:rsid wsp:val=&quot;206E085D&quot;/&gt;&lt;wsp:rsid wsp:val=&quot;206E1437&quot;/&gt;&lt;wsp:rsid wsp:val=&quot;20951D58&quot;/&gt;&lt;wsp:rsid wsp:val=&quot;20963CB8&quot;/&gt;&lt;wsp:rsid wsp:val=&quot;20A81A1B&quot;/&gt;&lt;wsp:rsid wsp:val=&quot;20B07FB6&quot;/&gt;&lt;wsp:rsid wsp:val=&quot;20B646FB&quot;/&gt;&lt;wsp:rsid wsp:val=&quot;20D26415&quot;/&gt;&lt;wsp:rsid wsp:val=&quot;212C7130&quot;/&gt;&lt;wsp:rsid wsp:val=&quot;213B74B1&quot;/&gt;&lt;wsp:rsid wsp:val=&quot;2147756F&quot;/&gt;&lt;wsp:rsid wsp:val=&quot;215A2310&quot;/&gt;&lt;wsp:rsid wsp:val=&quot;218D4053&quot;/&gt;&lt;wsp:rsid wsp:val=&quot;2198698A&quot;/&gt;&lt;wsp:rsid wsp:val=&quot;21A1039B&quot;/&gt;&lt;wsp:rsid wsp:val=&quot;21DA565B&quot;/&gt;&lt;wsp:rsid wsp:val=&quot;21DE318A&quot;/&gt;&lt;wsp:rsid wsp:val=&quot;21E02DE4&quot;/&gt;&lt;wsp:rsid wsp:val=&quot;21EA7F94&quot;/&gt;&lt;wsp:rsid wsp:val=&quot;21EF5B80&quot;/&gt;&lt;wsp:rsid wsp:val=&quot;21FE005D&quot;/&gt;&lt;wsp:rsid wsp:val=&quot;22462793&quot;/&gt;&lt;wsp:rsid wsp:val=&quot;22576990&quot;/&gt;&lt;wsp:rsid wsp:val=&quot;22665141&quot;/&gt;&lt;wsp:rsid wsp:val=&quot;228C4BA7&quot;/&gt;&lt;wsp:rsid wsp:val=&quot;22963C78&quot;/&gt;&lt;wsp:rsid wsp:val=&quot;22F47480&quot;/&gt;&lt;wsp:rsid wsp:val=&quot;23027D5E&quot;/&gt;&lt;wsp:rsid wsp:val=&quot;231B779A&quot;/&gt;&lt;wsp:rsid wsp:val=&quot;23223022&quot;/&gt;&lt;wsp:rsid wsp:val=&quot;23305BCF&quot;/&gt;&lt;wsp:rsid wsp:val=&quot;236B6EB3&quot;/&gt;&lt;wsp:rsid wsp:val=&quot;239755FD&quot;/&gt;&lt;wsp:rsid wsp:val=&quot;23AB3753&quot;/&gt;&lt;wsp:rsid wsp:val=&quot;23DE1C48&quot;/&gt;&lt;wsp:rsid wsp:val=&quot;23E87C34&quot;/&gt;&lt;wsp:rsid wsp:val=&quot;240210CD&quot;/&gt;&lt;wsp:rsid wsp:val=&quot;248F1A88&quot;/&gt;&lt;wsp:rsid wsp:val=&quot;24910737&quot;/&gt;&lt;wsp:rsid wsp:val=&quot;24952167&quot;/&gt;&lt;wsp:rsid wsp:val=&quot;24A81A41&quot;/&gt;&lt;wsp:rsid wsp:val=&quot;24B40CDE&quot;/&gt;&lt;wsp:rsid wsp:val=&quot;24BF09F7&quot;/&gt;&lt;wsp:rsid wsp:val=&quot;252D53FE&quot;/&gt;&lt;wsp:rsid wsp:val=&quot;257162D7&quot;/&gt;&lt;wsp:rsid wsp:val=&quot;25725018&quot;/&gt;&lt;wsp:rsid wsp:val=&quot;25B1778B&quot;/&gt;&lt;wsp:rsid wsp:val=&quot;25D725DE&quot;/&gt;&lt;wsp:rsid wsp:val=&quot;25EC2D81&quot;/&gt;&lt;wsp:rsid wsp:val=&quot;2627132E&quot;/&gt;&lt;wsp:rsid wsp:val=&quot;263C5A6F&quot;/&gt;&lt;wsp:rsid wsp:val=&quot;265901AD&quot;/&gt;&lt;wsp:rsid wsp:val=&quot;265A565A&quot;/&gt;&lt;wsp:rsid wsp:val=&quot;26A225AD&quot;/&gt;&lt;wsp:rsid wsp:val=&quot;26B474A7&quot;/&gt;&lt;wsp:rsid wsp:val=&quot;26E46C7B&quot;/&gt;&lt;wsp:rsid wsp:val=&quot;271E248E&quot;/&gt;&lt;wsp:rsid wsp:val=&quot;277057A2&quot;/&gt;&lt;wsp:rsid wsp:val=&quot;27845454&quot;/&gt;&lt;wsp:rsid wsp:val=&quot;27CE5C62&quot;/&gt;&lt;wsp:rsid wsp:val=&quot;27D97275&quot;/&gt;&lt;wsp:rsid wsp:val=&quot;27EC2BD2&quot;/&gt;&lt;wsp:rsid wsp:val=&quot;28110ABB&quot;/&gt;&lt;wsp:rsid wsp:val=&quot;283D69F1&quot;/&gt;&lt;wsp:rsid wsp:val=&quot;29206EB8&quot;/&gt;&lt;wsp:rsid wsp:val=&quot;29235B3A&quot;/&gt;&lt;wsp:rsid wsp:val=&quot;292C08CF&quot;/&gt;&lt;wsp:rsid wsp:val=&quot;294D2355&quot;/&gt;&lt;wsp:rsid wsp:val=&quot;29595666&quot;/&gt;&lt;wsp:rsid wsp:val=&quot;29707A8F&quot;/&gt;&lt;wsp:rsid wsp:val=&quot;29874881&quot;/&gt;&lt;wsp:rsid wsp:val=&quot;298F1421&quot;/&gt;&lt;wsp:rsid wsp:val=&quot;29E325E0&quot;/&gt;&lt;wsp:rsid wsp:val=&quot;2A0D49F1&quot;/&gt;&lt;wsp:rsid wsp:val=&quot;2A252C00&quot;/&gt;&lt;wsp:rsid wsp:val=&quot;2A452503&quot;/&gt;&lt;wsp:rsid wsp:val=&quot;2A65541B&quot;/&gt;&lt;wsp:rsid wsp:val=&quot;2A81749E&quot;/&gt;&lt;wsp:rsid wsp:val=&quot;2A9431F0&quot;/&gt;&lt;wsp:rsid wsp:val=&quot;2AA236B5&quot;/&gt;&lt;wsp:rsid wsp:val=&quot;2ADB491E&quot;/&gt;&lt;wsp:rsid wsp:val=&quot;2B141BDE&quot;/&gt;&lt;wsp:rsid wsp:val=&quot;2B1F5206&quot;/&gt;&lt;wsp:rsid wsp:val=&quot;2B381D70&quot;/&gt;&lt;wsp:rsid wsp:val=&quot;2B3F0D62&quot;/&gt;&lt;wsp:rsid wsp:val=&quot;2B41088E&quot;/&gt;&lt;wsp:rsid wsp:val=&quot;2B65243A&quot;/&gt;&lt;wsp:rsid wsp:val=&quot;2B6527BD&quot;/&gt;&lt;wsp:rsid wsp:val=&quot;2BA936A8&quot;/&gt;&lt;wsp:rsid wsp:val=&quot;2BEE74ED&quot;/&gt;&lt;wsp:rsid wsp:val=&quot;2C2461A6&quot;/&gt;&lt;wsp:rsid wsp:val=&quot;2C3027C9&quot;/&gt;&lt;wsp:rsid wsp:val=&quot;2C315A5A&quot;/&gt;&lt;wsp:rsid wsp:val=&quot;2C3A5674&quot;/&gt;&lt;wsp:rsid wsp:val=&quot;2C4B1C25&quot;/&gt;&lt;wsp:rsid wsp:val=&quot;2C801CFA&quot;/&gt;&lt;wsp:rsid wsp:val=&quot;2C9C1689&quot;/&gt;&lt;wsp:rsid wsp:val=&quot;2CAC23F9&quot;/&gt;&lt;wsp:rsid wsp:val=&quot;2CCF3A67&quot;/&gt;&lt;wsp:rsid wsp:val=&quot;2CD94E8D&quot;/&gt;&lt;wsp:rsid wsp:val=&quot;2D254588&quot;/&gt;&lt;wsp:rsid wsp:val=&quot;2D34043B&quot;/&gt;&lt;wsp:rsid wsp:val=&quot;2D9E56F5&quot;/&gt;&lt;wsp:rsid wsp:val=&quot;2DA73AE1&quot;/&gt;&lt;wsp:rsid wsp:val=&quot;2DE47F8D&quot;/&gt;&lt;wsp:rsid wsp:val=&quot;2E315F65&quot;/&gt;&lt;wsp:rsid wsp:val=&quot;2E5A0250&quot;/&gt;&lt;wsp:rsid wsp:val=&quot;2E5E1EBD&quot;/&gt;&lt;wsp:rsid wsp:val=&quot;2E667F96&quot;/&gt;&lt;wsp:rsid wsp:val=&quot;2E8226AB&quot;/&gt;&lt;wsp:rsid wsp:val=&quot;2EB76E91&quot;/&gt;&lt;wsp:rsid wsp:val=&quot;2F3F7C39&quot;/&gt;&lt;wsp:rsid wsp:val=&quot;2F5051AF&quot;/&gt;&lt;wsp:rsid wsp:val=&quot;2F9B3D18&quot;/&gt;&lt;wsp:rsid wsp:val=&quot;2FD065E6&quot;/&gt;&lt;wsp:rsid wsp:val=&quot;2FD96870&quot;/&gt;&lt;wsp:rsid wsp:val=&quot;2FE778C1&quot;/&gt;&lt;wsp:rsid wsp:val=&quot;30580BC9&quot;/&gt;&lt;wsp:rsid wsp:val=&quot;309537C1&quot;/&gt;&lt;wsp:rsid wsp:val=&quot;30A67A16&quot;/&gt;&lt;wsp:rsid wsp:val=&quot;30DB7244&quot;/&gt;&lt;wsp:rsid wsp:val=&quot;311E2ED7&quot;/&gt;&lt;wsp:rsid wsp:val=&quot;315076E8&quot;/&gt;&lt;wsp:rsid wsp:val=&quot;315619EE&quot;/&gt;&lt;wsp:rsid wsp:val=&quot;315C449C&quot;/&gt;&lt;wsp:rsid wsp:val=&quot;31B82709&quot;/&gt;&lt;wsp:rsid wsp:val=&quot;31C83722&quot;/&gt;&lt;wsp:rsid wsp:val=&quot;31D05482&quot;/&gt;&lt;wsp:rsid wsp:val=&quot;31EB75D7&quot;/&gt;&lt;wsp:rsid wsp:val=&quot;3205474E&quot;/&gt;&lt;wsp:rsid wsp:val=&quot;323B5397&quot;/&gt;&lt;wsp:rsid wsp:val=&quot;32400B34&quot;/&gt;&lt;wsp:rsid wsp:val=&quot;32446DD1&quot;/&gt;&lt;wsp:rsid wsp:val=&quot;324651F3&quot;/&gt;&lt;wsp:rsid wsp:val=&quot;324C089B&quot;/&gt;&lt;wsp:rsid wsp:val=&quot;32513718&quot;/&gt;&lt;wsp:rsid wsp:val=&quot;326E2272&quot;/&gt;&lt;wsp:rsid wsp:val=&quot;329E6876&quot;/&gt;&lt;wsp:rsid wsp:val=&quot;32AB72CC&quot;/&gt;&lt;wsp:rsid wsp:val=&quot;32B34BF9&quot;/&gt;&lt;wsp:rsid wsp:val=&quot;32C51588&quot;/&gt;&lt;wsp:rsid wsp:val=&quot;32EA309B&quot;/&gt;&lt;wsp:rsid wsp:val=&quot;32F10A57&quot;/&gt;&lt;wsp:rsid wsp:val=&quot;333015F2&quot;/&gt;&lt;wsp:rsid wsp:val=&quot;334B6320&quot;/&gt;&lt;wsp:rsid wsp:val=&quot;33613E2E&quot;/&gt;&lt;wsp:rsid wsp:val=&quot;336244FF&quot;/&gt;&lt;wsp:rsid wsp:val=&quot;337444AC&quot;/&gt;&lt;wsp:rsid wsp:val=&quot;338D7053&quot;/&gt;&lt;wsp:rsid wsp:val=&quot;33D934D4&quot;/&gt;&lt;wsp:rsid wsp:val=&quot;33FE2F6A&quot;/&gt;&lt;wsp:rsid wsp:val=&quot;340E07E5&quot;/&gt;&lt;wsp:rsid wsp:val=&quot;34235BF7&quot;/&gt;&lt;wsp:rsid wsp:val=&quot;347569FD&quot;/&gt;&lt;wsp:rsid wsp:val=&quot;34A71D01&quot;/&gt;&lt;wsp:rsid wsp:val=&quot;34F74BD3&quot;/&gt;&lt;wsp:rsid wsp:val=&quot;35287DEF&quot;/&gt;&lt;wsp:rsid wsp:val=&quot;35690D78&quot;/&gt;&lt;wsp:rsid wsp:val=&quot;358C5FA8&quot;/&gt;&lt;wsp:rsid wsp:val=&quot;35963DC9&quot;/&gt;&lt;wsp:rsid wsp:val=&quot;35A16C78&quot;/&gt;&lt;wsp:rsid wsp:val=&quot;35C15DF1&quot;/&gt;&lt;wsp:rsid wsp:val=&quot;35E01715&quot;/&gt;&lt;wsp:rsid wsp:val=&quot;35E055D7&quot;/&gt;&lt;wsp:rsid wsp:val=&quot;36074A7F&quot;/&gt;&lt;wsp:rsid wsp:val=&quot;363E0457&quot;/&gt;&lt;wsp:rsid wsp:val=&quot;3684230E&quot;/&gt;&lt;wsp:rsid wsp:val=&quot;36923549&quot;/&gt;&lt;wsp:rsid wsp:val=&quot;36B75FBF&quot;/&gt;&lt;wsp:rsid wsp:val=&quot;36BD0C45&quot;/&gt;&lt;wsp:rsid wsp:val=&quot;36C14A44&quot;/&gt;&lt;wsp:rsid wsp:val=&quot;36F823B4&quot;/&gt;&lt;wsp:rsid wsp:val=&quot;37315F38&quot;/&gt;&lt;wsp:rsid wsp:val=&quot;37754E09&quot;/&gt;&lt;wsp:rsid wsp:val=&quot;37D20E57&quot;/&gt;&lt;wsp:rsid wsp:val=&quot;37E00298&quot;/&gt;&lt;wsp:rsid wsp:val=&quot;37E578E6&quot;/&gt;&lt;wsp:rsid wsp:val=&quot;37F0691F&quot;/&gt;&lt;wsp:rsid wsp:val=&quot;37F4684E&quot;/&gt;&lt;wsp:rsid wsp:val=&quot;38626B64&quot;/&gt;&lt;wsp:rsid wsp:val=&quot;38B302F9&quot;/&gt;&lt;wsp:rsid wsp:val=&quot;38BB18EB&quot;/&gt;&lt;wsp:rsid wsp:val=&quot;38F12CD3&quot;/&gt;&lt;wsp:rsid wsp:val=&quot;38F94775&quot;/&gt;&lt;wsp:rsid wsp:val=&quot;392971ED&quot;/&gt;&lt;wsp:rsid wsp:val=&quot;39325651&quot;/&gt;&lt;wsp:rsid wsp:val=&quot;393C6ED0&quot;/&gt;&lt;wsp:rsid wsp:val=&quot;39597976&quot;/&gt;&lt;wsp:rsid wsp:val=&quot;395F496C&quot;/&gt;&lt;wsp:rsid wsp:val=&quot;39671A73&quot;/&gt;&lt;wsp:rsid wsp:val=&quot;399C171C&quot;/&gt;&lt;wsp:rsid wsp:val=&quot;39E12752&quot;/&gt;&lt;wsp:rsid wsp:val=&quot;39EB4452&quot;/&gt;&lt;wsp:rsid wsp:val=&quot;39F3541F&quot;/&gt;&lt;wsp:rsid wsp:val=&quot;3A0D261A&quot;/&gt;&lt;wsp:rsid wsp:val=&quot;3A335AE6&quot;/&gt;&lt;wsp:rsid wsp:val=&quot;3A4D7408&quot;/&gt;&lt;wsp:rsid wsp:val=&quot;3A597AE6&quot;/&gt;&lt;wsp:rsid wsp:val=&quot;3A872856&quot;/&gt;&lt;wsp:rsid wsp:val=&quot;3A887EF3&quot;/&gt;&lt;wsp:rsid wsp:val=&quot;3AB80F81&quot;/&gt;&lt;wsp:rsid wsp:val=&quot;3AD36EA3&quot;/&gt;&lt;wsp:rsid wsp:val=&quot;3B3763D1&quot;/&gt;&lt;wsp:rsid wsp:val=&quot;3B3911ED&quot;/&gt;&lt;wsp:rsid wsp:val=&quot;3B471387&quot;/&gt;&lt;wsp:rsid wsp:val=&quot;3BA76A26&quot;/&gt;&lt;wsp:rsid wsp:val=&quot;3C2F6E1E&quot;/&gt;&lt;wsp:rsid wsp:val=&quot;3C3041AA&quot;/&gt;&lt;wsp:rsid wsp:val=&quot;3C351E3D&quot;/&gt;&lt;wsp:rsid wsp:val=&quot;3C4F64BA&quot;/&gt;&lt;wsp:rsid wsp:val=&quot;3CDA245A&quot;/&gt;&lt;wsp:rsid wsp:val=&quot;3D0B0215&quot;/&gt;&lt;wsp:rsid wsp:val=&quot;3D1E06B7&quot;/&gt;&lt;wsp:rsid wsp:val=&quot;3D253A8B&quot;/&gt;&lt;wsp:rsid wsp:val=&quot;3D8B21D4&quot;/&gt;&lt;wsp:rsid wsp:val=&quot;3E341781&quot;/&gt;&lt;wsp:rsid wsp:val=&quot;3E7A587D&quot;/&gt;&lt;wsp:rsid wsp:val=&quot;3EAC0483&quot;/&gt;&lt;wsp:rsid wsp:val=&quot;3EDA0523&quot;/&gt;&lt;wsp:rsid wsp:val=&quot;3F7B12CB&quot;/&gt;&lt;wsp:rsid wsp:val=&quot;3F9335C1&quot;/&gt;&lt;wsp:rsid wsp:val=&quot;3FAE3F57&quot;/&gt;&lt;wsp:rsid wsp:val=&quot;3FC2288A&quot;/&gt;&lt;wsp:rsid wsp:val=&quot;400926DE&quot;/&gt;&lt;wsp:rsid wsp:val=&quot;4032541F&quot;/&gt;&lt;wsp:rsid wsp:val=&quot;40387CC5&quot;/&gt;&lt;wsp:rsid wsp:val=&quot;40520D87&quot;/&gt;&lt;wsp:rsid wsp:val=&quot;4059346A&quot;/&gt;&lt;wsp:rsid wsp:val=&quot;405F179F&quot;/&gt;&lt;wsp:rsid wsp:val=&quot;407A6407&quot;/&gt;&lt;wsp:rsid wsp:val=&quot;40B545A0&quot;/&gt;&lt;wsp:rsid wsp:val=&quot;40FB7670&quot;/&gt;&lt;wsp:rsid wsp:val=&quot;41251421&quot;/&gt;&lt;wsp:rsid wsp:val=&quot;41272213&quot;/&gt;&lt;wsp:rsid wsp:val=&quot;412F3A1A&quot;/&gt;&lt;wsp:rsid wsp:val=&quot;414626ED&quot;/&gt;&lt;wsp:rsid wsp:val=&quot;415D2049&quot;/&gt;&lt;wsp:rsid wsp:val=&quot;41652D3C&quot;/&gt;&lt;wsp:rsid wsp:val=&quot;41C07D0A&quot;/&gt;&lt;wsp:rsid wsp:val=&quot;41FF4F3E&quot;/&gt;&lt;wsp:rsid wsp:val=&quot;4200449D&quot;/&gt;&lt;wsp:rsid wsp:val=&quot;42075BA1&quot;/&gt;&lt;wsp:rsid wsp:val=&quot;423A3BCC&quot;/&gt;&lt;wsp:rsid wsp:val=&quot;424741EF&quot;/&gt;&lt;wsp:rsid wsp:val=&quot;424E57D2&quot;/&gt;&lt;wsp:rsid wsp:val=&quot;42963FE9&quot;/&gt;&lt;wsp:rsid wsp:val=&quot;42B26C49&quot;/&gt;&lt;wsp:rsid wsp:val=&quot;42D669C5&quot;/&gt;&lt;wsp:rsid wsp:val=&quot;42F97747&quot;/&gt;&lt;wsp:rsid wsp:val=&quot;43020B7B&quot;/&gt;&lt;wsp:rsid wsp:val=&quot;43193DDE&quot;/&gt;&lt;wsp:rsid wsp:val=&quot;43301127&quot;/&gt;&lt;wsp:rsid wsp:val=&quot;433A6FE6&quot;/&gt;&lt;wsp:rsid wsp:val=&quot;43480868&quot;/&gt;&lt;wsp:rsid wsp:val=&quot;4350713C&quot;/&gt;&lt;wsp:rsid wsp:val=&quot;436653E0&quot;/&gt;&lt;wsp:rsid wsp:val=&quot;436E0CB2&quot;/&gt;&lt;wsp:rsid wsp:val=&quot;438A3A14&quot;/&gt;&lt;wsp:rsid wsp:val=&quot;43A66856&quot;/&gt;&lt;wsp:rsid wsp:val=&quot;43B958AD&quot;/&gt;&lt;wsp:rsid wsp:val=&quot;43C4431A&quot;/&gt;&lt;wsp:rsid wsp:val=&quot;43F3462F&quot;/&gt;&lt;wsp:rsid wsp:val=&quot;440E10EE&quot;/&gt;&lt;wsp:rsid wsp:val=&quot;441237C5&quot;/&gt;&lt;wsp:rsid wsp:val=&quot;443775B0&quot;/&gt;&lt;wsp:rsid wsp:val=&quot;444E0D07&quot;/&gt;&lt;wsp:rsid wsp:val=&quot;4467501D&quot;/&gt;&lt;wsp:rsid wsp:val=&quot;447A1390&quot;/&gt;&lt;wsp:rsid wsp:val=&quot;44A43B7B&quot;/&gt;&lt;wsp:rsid wsp:val=&quot;44B951CC&quot;/&gt;&lt;wsp:rsid wsp:val=&quot;44C856C4&quot;/&gt;&lt;wsp:rsid wsp:val=&quot;44CD14E0&quot;/&gt;&lt;wsp:rsid wsp:val=&quot;44F05012&quot;/&gt;&lt;wsp:rsid wsp:val=&quot;44F20B0B&quot;/&gt;&lt;wsp:rsid wsp:val=&quot;452E5F4C&quot;/&gt;&lt;wsp:rsid wsp:val=&quot;454728B0&quot;/&gt;&lt;wsp:rsid wsp:val=&quot;45612018&quot;/&gt;&lt;wsp:rsid wsp:val=&quot;45694E44&quot;/&gt;&lt;wsp:rsid wsp:val=&quot;458946E9&quot;/&gt;&lt;wsp:rsid wsp:val=&quot;45A47C0E&quot;/&gt;&lt;wsp:rsid wsp:val=&quot;45ED3300&quot;/&gt;&lt;wsp:rsid wsp:val=&quot;460E1C7B&quot;/&gt;&lt;wsp:rsid wsp:val=&quot;460E6F6B&quot;/&gt;&lt;wsp:rsid wsp:val=&quot;46577FD6&quot;/&gt;&lt;wsp:rsid wsp:val=&quot;46787E89&quot;/&gt;&lt;wsp:rsid wsp:val=&quot;46B61944&quot;/&gt;&lt;wsp:rsid wsp:val=&quot;46C962FC&quot;/&gt;&lt;wsp:rsid wsp:val=&quot;46D955A7&quot;/&gt;&lt;wsp:rsid wsp:val=&quot;47133957&quot;/&gt;&lt;wsp:rsid wsp:val=&quot;47232A99&quot;/&gt;&lt;wsp:rsid wsp:val=&quot;475C073D&quot;/&gt;&lt;wsp:rsid wsp:val=&quot;47A07E0C&quot;/&gt;&lt;wsp:rsid wsp:val=&quot;47A140AA&quot;/&gt;&lt;wsp:rsid wsp:val=&quot;48000043&quot;/&gt;&lt;wsp:rsid wsp:val=&quot;4870272E&quot;/&gt;&lt;wsp:rsid wsp:val=&quot;487B3619&quot;/&gt;&lt;wsp:rsid wsp:val=&quot;489A151D&quot;/&gt;&lt;wsp:rsid wsp:val=&quot;48A835F4&quot;/&gt;&lt;wsp:rsid wsp:val=&quot;48DA542B&quot;/&gt;&lt;wsp:rsid wsp:val=&quot;48E165A4&quot;/&gt;&lt;wsp:rsid wsp:val=&quot;49000F55&quot;/&gt;&lt;wsp:rsid wsp:val=&quot;490502D8&quot;/&gt;&lt;wsp:rsid wsp:val=&quot;49180694&quot;/&gt;&lt;wsp:rsid wsp:val=&quot;493759AC&quot;/&gt;&lt;wsp:rsid wsp:val=&quot;49907B4B&quot;/&gt;&lt;wsp:rsid wsp:val=&quot;49AB1508&quot;/&gt;&lt;wsp:rsid wsp:val=&quot;49B25CF7&quot;/&gt;&lt;wsp:rsid wsp:val=&quot;49CE5ED2&quot;/&gt;&lt;wsp:rsid wsp:val=&quot;49DC7715&quot;/&gt;&lt;wsp:rsid wsp:val=&quot;49FC181A&quot;/&gt;&lt;wsp:rsid wsp:val=&quot;4A023139&quot;/&gt;&lt;wsp:rsid wsp:val=&quot;4A070E34&quot;/&gt;&lt;wsp:rsid wsp:val=&quot;4A310715&quot;/&gt;&lt;wsp:rsid wsp:val=&quot;4A4B2573&quot;/&gt;&lt;wsp:rsid wsp:val=&quot;4A4D21FE&quot;/&gt;&lt;wsp:rsid wsp:val=&quot;4A7B576F&quot;/&gt;&lt;wsp:rsid wsp:val=&quot;4A80685B&quot;/&gt;&lt;wsp:rsid wsp:val=&quot;4AA443BF&quot;/&gt;&lt;wsp:rsid wsp:val=&quot;4AB9714B&quot;/&gt;&lt;wsp:rsid wsp:val=&quot;4ACE1952&quot;/&gt;&lt;wsp:rsid wsp:val=&quot;4ADF3B5F&quot;/&gt;&lt;wsp:rsid wsp:val=&quot;4AEB2504&quot;/&gt;&lt;wsp:rsid wsp:val=&quot;4AF561A9&quot;/&gt;&lt;wsp:rsid wsp:val=&quot;4B5C6F5D&quot;/&gt;&lt;wsp:rsid wsp:val=&quot;4B60778F&quot;/&gt;&lt;wsp:rsid wsp:val=&quot;4B9366F7&quot;/&gt;&lt;wsp:rsid wsp:val=&quot;4BA8076C&quot;/&gt;&lt;wsp:rsid wsp:val=&quot;4BB14C65&quot;/&gt;&lt;wsp:rsid wsp:val=&quot;4BE97561&quot;/&gt;&lt;wsp:rsid wsp:val=&quot;4C1149EA&quot;/&gt;&lt;wsp:rsid wsp:val=&quot;4C435330&quot;/&gt;&lt;wsp:rsid wsp:val=&quot;4C4A0649&quot;/&gt;&lt;wsp:rsid wsp:val=&quot;4C7E5ECA&quot;/&gt;&lt;wsp:rsid wsp:val=&quot;4C876AA5&quot;/&gt;&lt;wsp:rsid wsp:val=&quot;4CA50490&quot;/&gt;&lt;wsp:rsid wsp:val=&quot;4CC54FDD&quot;/&gt;&lt;wsp:rsid wsp:val=&quot;4CE57767&quot;/&gt;&lt;wsp:rsid wsp:val=&quot;4D0E00FB&quot;/&gt;&lt;wsp:rsid wsp:val=&quot;4D0E6C05&quot;/&gt;&lt;wsp:rsid wsp:val=&quot;4D176606&quot;/&gt;&lt;wsp:rsid wsp:val=&quot;4D524790&quot;/&gt;&lt;wsp:rsid wsp:val=&quot;4D8D225A&quot;/&gt;&lt;wsp:rsid wsp:val=&quot;4DA40CE1&quot;/&gt;&lt;wsp:rsid wsp:val=&quot;4DEC4FB0&quot;/&gt;&lt;wsp:rsid wsp:val=&quot;4E075D8A&quot;/&gt;&lt;wsp:rsid wsp:val=&quot;4E2D48DA&quot;/&gt;&lt;wsp:rsid wsp:val=&quot;4E37390F&quot;/&gt;&lt;wsp:rsid wsp:val=&quot;4E6D3230&quot;/&gt;&lt;wsp:rsid wsp:val=&quot;4E8116E8&quot;/&gt;&lt;wsp:rsid wsp:val=&quot;4EA76741&quot;/&gt;&lt;wsp:rsid wsp:val=&quot;4EC00FAD&quot;/&gt;&lt;wsp:rsid wsp:val=&quot;4EF209CA&quot;/&gt;&lt;wsp:rsid wsp:val=&quot;4F4B53EA&quot;/&gt;&lt;wsp:rsid wsp:val=&quot;4F4E012F&quot;/&gt;&lt;wsp:rsid wsp:val=&quot;4F692941&quot;/&gt;&lt;wsp:rsid wsp:val=&quot;4F9547EC&quot;/&gt;&lt;wsp:rsid wsp:val=&quot;4F9843DC&quot;/&gt;&lt;wsp:rsid wsp:val=&quot;4FA15887&quot;/&gt;&lt;wsp:rsid wsp:val=&quot;4FC62A8C&quot;/&gt;&lt;wsp:rsid wsp:val=&quot;4FE20F0D&quot;/&gt;&lt;wsp:rsid wsp:val=&quot;4FE51552&quot;/&gt;&lt;wsp:rsid wsp:val=&quot;501222E0&quot;/&gt;&lt;wsp:rsid wsp:val=&quot;50504C4B&quot;/&gt;&lt;wsp:rsid wsp:val=&quot;506A70D2&quot;/&gt;&lt;wsp:rsid wsp:val=&quot;509C6E7C&quot;/&gt;&lt;wsp:rsid wsp:val=&quot;50A8054F&quot;/&gt;&lt;wsp:rsid wsp:val=&quot;50AE2F19&quot;/&gt;&lt;wsp:rsid wsp:val=&quot;50BA42F9&quot;/&gt;&lt;wsp:rsid wsp:val=&quot;50FE4613&quot;/&gt;&lt;wsp:rsid wsp:val=&quot;5162104E&quot;/&gt;&lt;wsp:rsid wsp:val=&quot;516C3C72&quot;/&gt;&lt;wsp:rsid wsp:val=&quot;52180D44&quot;/&gt;&lt;wsp:rsid wsp:val=&quot;521F2A93&quot;/&gt;&lt;wsp:rsid wsp:val=&quot;52282717&quot;/&gt;&lt;wsp:rsid wsp:val=&quot;526606C2&quot;/&gt;&lt;wsp:rsid wsp:val=&quot;52860D64&quot;/&gt;&lt;wsp:rsid wsp:val=&quot;52AA6800&quot;/&gt;&lt;wsp:rsid wsp:val=&quot;52C673C7&quot;/&gt;&lt;wsp:rsid wsp:val=&quot;52EA277D&quot;/&gt;&lt;wsp:rsid wsp:val=&quot;52F24577&quot;/&gt;&lt;wsp:rsid wsp:val=&quot;53163E96&quot;/&gt;&lt;wsp:rsid wsp:val=&quot;531A1F43&quot;/&gt;&lt;wsp:rsid wsp:val=&quot;53230361&quot;/&gt;&lt;wsp:rsid wsp:val=&quot;53A039CC&quot;/&gt;&lt;wsp:rsid wsp:val=&quot;53A1505A&quot;/&gt;&lt;wsp:rsid wsp:val=&quot;53BF62DB&quot;/&gt;&lt;wsp:rsid wsp:val=&quot;53FC752F&quot;/&gt;&lt;wsp:rsid wsp:val=&quot;54063E08&quot;/&gt;&lt;wsp:rsid wsp:val=&quot;54085ED4&quot;/&gt;&lt;wsp:rsid wsp:val=&quot;54162CDC&quot;/&gt;&lt;wsp:rsid wsp:val=&quot;543437E8&quot;/&gt;&lt;wsp:rsid wsp:val=&quot;544B3BE4&quot;/&gt;&lt;wsp:rsid wsp:val=&quot;54B12736&quot;/&gt;&lt;wsp:rsid wsp:val=&quot;54B80C69&quot;/&gt;&lt;wsp:rsid wsp:val=&quot;54F73313&quot;/&gt;&lt;wsp:rsid wsp:val=&quot;54F80955&quot;/&gt;&lt;wsp:rsid wsp:val=&quot;55085A60&quot;/&gt;&lt;wsp:rsid wsp:val=&quot;551B751F&quot;/&gt;&lt;wsp:rsid wsp:val=&quot;555170A7&quot;/&gt;&lt;wsp:rsid wsp:val=&quot;555C613E&quot;/&gt;&lt;wsp:rsid wsp:val=&quot;556233C2&quot;/&gt;&lt;wsp:rsid wsp:val=&quot;5587536D&quot;/&gt;&lt;wsp:rsid wsp:val=&quot;55943798&quot;/&gt;&lt;wsp:rsid wsp:val=&quot;559B174B&quot;/&gt;&lt;wsp:rsid wsp:val=&quot;55CE0CF4&quot;/&gt;&lt;wsp:rsid wsp:val=&quot;55DF0EB7&quot;/&gt;&lt;wsp:rsid wsp:val=&quot;56044125&quot;/&gt;&lt;wsp:rsid wsp:val=&quot;560C1580&quot;/&gt;&lt;wsp:rsid wsp:val=&quot;561F3F64&quot;/&gt;&lt;wsp:rsid wsp:val=&quot;56592E41&quot;/&gt;&lt;wsp:rsid wsp:val=&quot;568D0913&quot;/&gt;&lt;wsp:rsid wsp:val=&quot;5697709C&quot;/&gt;&lt;wsp:rsid wsp:val=&quot;56B22A9C&quot;/&gt;&lt;wsp:rsid wsp:val=&quot;56BC6214&quot;/&gt;&lt;wsp:rsid wsp:val=&quot;56D946B8&quot;/&gt;&lt;wsp:rsid wsp:val=&quot;56DC0F52&quot;/&gt;&lt;wsp:rsid wsp:val=&quot;572F5526&quot;/&gt;&lt;wsp:rsid wsp:val=&quot;57814C12&quot;/&gt;&lt;wsp:rsid wsp:val=&quot;57A55E1F&quot;/&gt;&lt;wsp:rsid wsp:val=&quot;57AF17D7&quot;/&gt;&lt;wsp:rsid wsp:val=&quot;57B72A76&quot;/&gt;&lt;wsp:rsid wsp:val=&quot;57B91294&quot;/&gt;&lt;wsp:rsid wsp:val=&quot;57C3426C&quot;/&gt;&lt;wsp:rsid wsp:val=&quot;57CE1F93&quot;/&gt;&lt;wsp:rsid wsp:val=&quot;58281544&quot;/&gt;&lt;wsp:rsid wsp:val=&quot;585651F5&quot;/&gt;&lt;wsp:rsid wsp:val=&quot;585A2598&quot;/&gt;&lt;wsp:rsid wsp:val=&quot;58847722&quot;/&gt;&lt;wsp:rsid wsp:val=&quot;588743D1&quot;/&gt;&lt;wsp:rsid wsp:val=&quot;5887701A&quot;/&gt;&lt;wsp:rsid wsp:val=&quot;58D501F4&quot;/&gt;&lt;wsp:rsid wsp:val=&quot;58FC58DC&quot;/&gt;&lt;wsp:rsid wsp:val=&quot;590E560F&quot;/&gt;&lt;wsp:rsid wsp:val=&quot;597F3AB1&quot;/&gt;&lt;wsp:rsid wsp:val=&quot;59C0439F&quot;/&gt;&lt;wsp:rsid wsp:val=&quot;59E746E3&quot;/&gt;&lt;wsp:rsid wsp:val=&quot;5A033B31&quot;/&gt;&lt;wsp:rsid wsp:val=&quot;5A786DB8&quot;/&gt;&lt;wsp:rsid wsp:val=&quot;5A991B1D&quot;/&gt;&lt;wsp:rsid wsp:val=&quot;5ABE2233&quot;/&gt;&lt;wsp:rsid wsp:val=&quot;5ADD2BA5&quot;/&gt;&lt;wsp:rsid wsp:val=&quot;5AEE043F&quot;/&gt;&lt;wsp:rsid wsp:val=&quot;5BBB255D&quot;/&gt;&lt;wsp:rsid wsp:val=&quot;5BD7600D&quot;/&gt;&lt;wsp:rsid wsp:val=&quot;5BDF5D95&quot;/&gt;&lt;wsp:rsid wsp:val=&quot;5BFE7528&quot;/&gt;&lt;wsp:rsid wsp:val=&quot;5C050F4B&quot;/&gt;&lt;wsp:rsid wsp:val=&quot;5C107BEF&quot;/&gt;&lt;wsp:rsid wsp:val=&quot;5C2238AB&quot;/&gt;&lt;wsp:rsid wsp:val=&quot;5C5D6BC1&quot;/&gt;&lt;wsp:rsid wsp:val=&quot;5C5F4D82&quot;/&gt;&lt;wsp:rsid wsp:val=&quot;5C873A6F&quot;/&gt;&lt;wsp:rsid wsp:val=&quot;5C8C341B&quot;/&gt;&lt;wsp:rsid wsp:val=&quot;5CFA2FF4&quot;/&gt;&lt;wsp:rsid wsp:val=&quot;5D380B12&quot;/&gt;&lt;wsp:rsid wsp:val=&quot;5D59154F&quot;/&gt;&lt;wsp:rsid wsp:val=&quot;5DCA6BBC&quot;/&gt;&lt;wsp:rsid wsp:val=&quot;5E192A8C&quot;/&gt;&lt;wsp:rsid wsp:val=&quot;5E2205CA&quot;/&gt;&lt;wsp:rsid wsp:val=&quot;5E2467F1&quot;/&gt;&lt;wsp:rsid wsp:val=&quot;5E7D2010&quot;/&gt;&lt;wsp:rsid wsp:val=&quot;5E9E498A&quot;/&gt;&lt;wsp:rsid wsp:val=&quot;5EB41DF4&quot;/&gt;&lt;wsp:rsid wsp:val=&quot;5EC8587D&quot;/&gt;&lt;wsp:rsid wsp:val=&quot;5F1A2B43&quot;/&gt;&lt;wsp:rsid wsp:val=&quot;5F860FF2&quot;/&gt;&lt;wsp:rsid wsp:val=&quot;5FB837BB&quot;/&gt;&lt;wsp:rsid wsp:val=&quot;60251740&quot;/&gt;&lt;wsp:rsid wsp:val=&quot;6037369D&quot;/&gt;&lt;wsp:rsid wsp:val=&quot;605D1356&quot;/&gt;&lt;wsp:rsid wsp:val=&quot;60CC405A&quot;/&gt;&lt;wsp:rsid wsp:val=&quot;60EF5D26&quot;/&gt;&lt;wsp:rsid wsp:val=&quot;61013BB8&quot;/&gt;&lt;wsp:rsid wsp:val=&quot;613A1697&quot;/&gt;&lt;wsp:rsid wsp:val=&quot;61624992&quot;/&gt;&lt;wsp:rsid wsp:val=&quot;61BE18D7&quot;/&gt;&lt;wsp:rsid wsp:val=&quot;61E215D8&quot;/&gt;&lt;wsp:rsid wsp:val=&quot;61F83585&quot;/&gt;&lt;wsp:rsid wsp:val=&quot;620B4DE2&quot;/&gt;&lt;wsp:rsid wsp:val=&quot;621B3775&quot;/&gt;&lt;wsp:rsid wsp:val=&quot;62364782&quot;/&gt;&lt;wsp:rsid wsp:val=&quot;625C743B&quot;/&gt;&lt;wsp:rsid wsp:val=&quot;626764BC&quot;/&gt;&lt;wsp:rsid wsp:val=&quot;627B5AC3&quot;/&gt;&lt;wsp:rsid wsp:val=&quot;62960B4F&quot;/&gt;&lt;wsp:rsid wsp:val=&quot;62B53A47&quot;/&gt;&lt;wsp:rsid wsp:val=&quot;62B814EF&quot;/&gt;&lt;wsp:rsid wsp:val=&quot;62FB47D4&quot;/&gt;&lt;wsp:rsid wsp:val=&quot;632E1C1D&quot;/&gt;&lt;wsp:rsid wsp:val=&quot;633C21FE&quot;/&gt;&lt;wsp:rsid wsp:val=&quot;637737BC&quot;/&gt;&lt;wsp:rsid wsp:val=&quot;6394356A&quot;/&gt;&lt;wsp:rsid wsp:val=&quot;639A594E&quot;/&gt;&lt;wsp:rsid wsp:val=&quot;63C61B2C&quot;/&gt;&lt;wsp:rsid wsp:val=&quot;63D40BE9&quot;/&gt;&lt;wsp:rsid wsp:val=&quot;64061D57&quot;/&gt;&lt;wsp:rsid wsp:val=&quot;64102431&quot;/&gt;&lt;wsp:rsid wsp:val=&quot;641E61FF&quot;/&gt;&lt;wsp:rsid wsp:val=&quot;64753107&quot;/&gt;&lt;wsp:rsid wsp:val=&quot;64A5243A&quot;/&gt;&lt;wsp:rsid wsp:val=&quot;64BB489D&quot;/&gt;&lt;wsp:rsid wsp:val=&quot;64C47814&quot;/&gt;&lt;wsp:rsid wsp:val=&quot;64CC2606&quot;/&gt;&lt;wsp:rsid wsp:val=&quot;64D823B5&quot;/&gt;&lt;wsp:rsid wsp:val=&quot;64F14DEE&quot;/&gt;&lt;wsp:rsid wsp:val=&quot;64F25C4B&quot;/&gt;&lt;wsp:rsid wsp:val=&quot;64F531DE&quot;/&gt;&lt;wsp:rsid wsp:val=&quot;64F733FB&quot;/&gt;&lt;wsp:rsid wsp:val=&quot;65373578&quot;/&gt;&lt;wsp:rsid wsp:val=&quot;65855B7B&quot;/&gt;&lt;wsp:rsid wsp:val=&quot;65D976D1&quot;/&gt;&lt;wsp:rsid wsp:val=&quot;663A1335&quot;/&gt;&lt;wsp:rsid wsp:val=&quot;665B766F&quot;/&gt;&lt;wsp:rsid wsp:val=&quot;665C5C0C&quot;/&gt;&lt;wsp:rsid wsp:val=&quot;667271DD&quot;/&gt;&lt;wsp:rsid wsp:val=&quot;66BA5445&quot;/&gt;&lt;wsp:rsid wsp:val=&quot;671D183F&quot;/&gt;&lt;wsp:rsid wsp:val=&quot;671F124A&quot;/&gt;&lt;wsp:rsid wsp:val=&quot;677A33C6&quot;/&gt;&lt;wsp:rsid wsp:val=&quot;678459F0&quot;/&gt;&lt;wsp:rsid wsp:val=&quot;67856E44&quot;/&gt;&lt;wsp:rsid wsp:val=&quot;67BA2D3C&quot;/&gt;&lt;wsp:rsid wsp:val=&quot;67F737B2&quot;/&gt;&lt;wsp:rsid wsp:val=&quot;68055D20&quot;/&gt;&lt;wsp:rsid wsp:val=&quot;681F6961&quot;/&gt;&lt;wsp:rsid wsp:val=&quot;682269E1&quot;/&gt;&lt;wsp:rsid wsp:val=&quot;68326CE6&quot;/&gt;&lt;wsp:rsid wsp:val=&quot;68610A2F&quot;/&gt;&lt;wsp:rsid wsp:val=&quot;68805514&quot;/&gt;&lt;wsp:rsid wsp:val=&quot;688F638F&quot;/&gt;&lt;wsp:rsid wsp:val=&quot;68FE2FAA&quot;/&gt;&lt;wsp:rsid wsp:val=&quot;6923369E&quot;/&gt;&lt;wsp:rsid wsp:val=&quot;69316E2F&quot;/&gt;&lt;wsp:rsid wsp:val=&quot;694E2071&quot;/&gt;&lt;wsp:rsid wsp:val=&quot;695C1C65&quot;/&gt;&lt;wsp:rsid wsp:val=&quot;69766163&quot;/&gt;&lt;wsp:rsid wsp:val=&quot;697A3B33&quot;/&gt;&lt;wsp:rsid wsp:val=&quot;69D44760&quot;/&gt;&lt;wsp:rsid wsp:val=&quot;6A2A5C37&quot;/&gt;&lt;wsp:rsid wsp:val=&quot;6A4E184A&quot;/&gt;&lt;wsp:rsid wsp:val=&quot;6A520EC7&quot;/&gt;&lt;wsp:rsid wsp:val=&quot;6A687B43&quot;/&gt;&lt;wsp:rsid wsp:val=&quot;6AB77E8E&quot;/&gt;&lt;wsp:rsid wsp:val=&quot;6AF87E20&quot;/&gt;&lt;wsp:rsid wsp:val=&quot;6B0B7C00&quot;/&gt;&lt;wsp:rsid wsp:val=&quot;6B140BF9&quot;/&gt;&lt;wsp:rsid wsp:val=&quot;6B322639&quot;/&gt;&lt;wsp:rsid wsp:val=&quot;6B5D3C1D&quot;/&gt;&lt;wsp:rsid wsp:val=&quot;6B5E0140&quot;/&gt;&lt;wsp:rsid wsp:val=&quot;6BC67A8C&quot;/&gt;&lt;wsp:rsid wsp:val=&quot;6C1D0C7C&quot;/&gt;&lt;wsp:rsid wsp:val=&quot;6C596833&quot;/&gt;&lt;wsp:rsid wsp:val=&quot;6C636C38&quot;/&gt;&lt;wsp:rsid wsp:val=&quot;6C881636&quot;/&gt;&lt;wsp:rsid wsp:val=&quot;6C962A35&quot;/&gt;&lt;wsp:rsid wsp:val=&quot;6C9854C4&quot;/&gt;&lt;wsp:rsid wsp:val=&quot;6CB00A5F&quot;/&gt;&lt;wsp:rsid wsp:val=&quot;6CB0179F&quot;/&gt;&lt;wsp:rsid wsp:val=&quot;6CB2337E&quot;/&gt;&lt;wsp:rsid wsp:val=&quot;6CB303CD&quot;/&gt;&lt;wsp:rsid wsp:val=&quot;6CC83FFB&quot;/&gt;&lt;wsp:rsid wsp:val=&quot;6D601880&quot;/&gt;&lt;wsp:rsid wsp:val=&quot;6D935DD7&quot;/&gt;&lt;wsp:rsid wsp:val=&quot;6D9B526C&quot;/&gt;&lt;wsp:rsid wsp:val=&quot;6DB34098&quot;/&gt;&lt;wsp:rsid wsp:val=&quot;6DB545B6&quot;/&gt;&lt;wsp:rsid wsp:val=&quot;6DE02FB4&quot;/&gt;&lt;wsp:rsid wsp:val=&quot;6DFB3020&quot;/&gt;&lt;wsp:rsid wsp:val=&quot;6E1D50AE&quot;/&gt;&lt;wsp:rsid wsp:val=&quot;6E514CED&quot;/&gt;&lt;wsp:rsid wsp:val=&quot;6EAD4575&quot;/&gt;&lt;wsp:rsid wsp:val=&quot;6EB563D5&quot;/&gt;&lt;wsp:rsid wsp:val=&quot;6ED92677&quot;/&gt;&lt;wsp:rsid wsp:val=&quot;6EDD2500&quot;/&gt;&lt;wsp:rsid wsp:val=&quot;6F025158&quot;/&gt;&lt;wsp:rsid wsp:val=&quot;6F215C44&quot;/&gt;&lt;wsp:rsid wsp:val=&quot;6F225983&quot;/&gt;&lt;wsp:rsid wsp:val=&quot;6F54601A&quot;/&gt;&lt;wsp:rsid wsp:val=&quot;6F697C94&quot;/&gt;&lt;wsp:rsid wsp:val=&quot;6FD33957&quot;/&gt;&lt;wsp:rsid wsp:val=&quot;6FFC5590&quot;/&gt;&lt;wsp:rsid wsp:val=&quot;70277D14&quot;/&gt;&lt;wsp:rsid wsp:val=&quot;70545BA6&quot;/&gt;&lt;wsp:rsid wsp:val=&quot;705D5A3F&quot;/&gt;&lt;wsp:rsid wsp:val=&quot;706D1DD0&quot;/&gt;&lt;wsp:rsid wsp:val=&quot;70856B87&quot;/&gt;&lt;wsp:rsid wsp:val=&quot;70A22DB5&quot;/&gt;&lt;wsp:rsid wsp:val=&quot;70B83BA6&quot;/&gt;&lt;wsp:rsid wsp:val=&quot;70D527EE&quot;/&gt;&lt;wsp:rsid wsp:val=&quot;71333633&quot;/&gt;&lt;wsp:rsid wsp:val=&quot;71350741&quot;/&gt;&lt;wsp:rsid wsp:val=&quot;715B5300&quot;/&gt;&lt;wsp:rsid wsp:val=&quot;71B71935&quot;/&gt;&lt;wsp:rsid wsp:val=&quot;71D27F8A&quot;/&gt;&lt;wsp:rsid wsp:val=&quot;723A2822&quot;/&gt;&lt;wsp:rsid wsp:val=&quot;72553024&quot;/&gt;&lt;wsp:rsid wsp:val=&quot;726A6EF9&quot;/&gt;&lt;wsp:rsid wsp:val=&quot;72826C46&quot;/&gt;&lt;wsp:rsid wsp:val=&quot;72B56DCF&quot;/&gt;&lt;wsp:rsid wsp:val=&quot;72C01A12&quot;/&gt;&lt;wsp:rsid wsp:val=&quot;72E36719&quot;/&gt;&lt;wsp:rsid wsp:val=&quot;72F13B80&quot;/&gt;&lt;wsp:rsid wsp:val=&quot;72F47912&quot;/&gt;&lt;wsp:rsid wsp:val=&quot;73122968&quot;/&gt;&lt;wsp:rsid wsp:val=&quot;731727D5&quot;/&gt;&lt;wsp:rsid wsp:val=&quot;731F5D5E&quot;/&gt;&lt;wsp:rsid wsp:val=&quot;732619CF&quot;/&gt;&lt;wsp:rsid wsp:val=&quot;733817AF&quot;/&gt;&lt;wsp:rsid wsp:val=&quot;738C18CB&quot;/&gt;&lt;wsp:rsid wsp:val=&quot;73C51AD5&quot;/&gt;&lt;wsp:rsid wsp:val=&quot;73D67E93&quot;/&gt;&lt;wsp:rsid wsp:val=&quot;73E052BC&quot;/&gt;&lt;wsp:rsid wsp:val=&quot;73EA2620&quot;/&gt;&lt;wsp:rsid wsp:val=&quot;73ED2806&quot;/&gt;&lt;wsp:rsid wsp:val=&quot;73F737C4&quot;/&gt;&lt;wsp:rsid wsp:val=&quot;741E793C&quot;/&gt;&lt;wsp:rsid wsp:val=&quot;74251D33&quot;/&gt;&lt;wsp:rsid wsp:val=&quot;74355F62&quot;/&gt;&lt;wsp:rsid wsp:val=&quot;745E3944&quot;/&gt;&lt;wsp:rsid wsp:val=&quot;7479712F&quot;/&gt;&lt;wsp:rsid wsp:val=&quot;748051BB&quot;/&gt;&lt;wsp:rsid wsp:val=&quot;74874906&quot;/&gt;&lt;wsp:rsid wsp:val=&quot;74E244D5&quot;/&gt;&lt;wsp:rsid wsp:val=&quot;757840E4&quot;/&gt;&lt;wsp:rsid wsp:val=&quot;758B0493&quot;/&gt;&lt;wsp:rsid wsp:val=&quot;75AA4D7D&quot;/&gt;&lt;wsp:rsid wsp:val=&quot;75F82D68&quot;/&gt;&lt;wsp:rsid wsp:val=&quot;75FF5884&quot;/&gt;&lt;wsp:rsid wsp:val=&quot;76313E23&quot;/&gt;&lt;wsp:rsid wsp:val=&quot;7635099D&quot;/&gt;&lt;wsp:rsid wsp:val=&quot;763E2BEB&quot;/&gt;&lt;wsp:rsid wsp:val=&quot;764741E2&quot;/&gt;&lt;wsp:rsid wsp:val=&quot;76736D71&quot;/&gt;&lt;wsp:rsid wsp:val=&quot;76960176&quot;/&gt;&lt;wsp:rsid wsp:val=&quot;769B62DC&quot;/&gt;&lt;wsp:rsid wsp:val=&quot;76BB6F2A&quot;/&gt;&lt;wsp:rsid wsp:val=&quot;76C05D43&quot;/&gt;&lt;wsp:rsid wsp:val=&quot;76C34592&quot;/&gt;&lt;wsp:rsid wsp:val=&quot;76C678AE&quot;/&gt;&lt;wsp:rsid wsp:val=&quot;76DD68F5&quot;/&gt;&lt;wsp:rsid wsp:val=&quot;77762421&quot;/&gt;&lt;wsp:rsid wsp:val=&quot;77B56B1F&quot;/&gt;&lt;wsp:rsid wsp:val=&quot;780F09F4&quot;/&gt;&lt;wsp:rsid wsp:val=&quot;782A4F3F&quot;/&gt;&lt;wsp:rsid wsp:val=&quot;782B5247&quot;/&gt;&lt;wsp:rsid wsp:val=&quot;782D6F7B&quot;/&gt;&lt;wsp:rsid wsp:val=&quot;78374F2B&quot;/&gt;&lt;wsp:rsid wsp:val=&quot;78574485&quot;/&gt;&lt;wsp:rsid wsp:val=&quot;78704450&quot;/&gt;&lt;wsp:rsid wsp:val=&quot;7879264D&quot;/&gt;&lt;wsp:rsid wsp:val=&quot;7892370F&quot;/&gt;&lt;wsp:rsid wsp:val=&quot;78A90480&quot;/&gt;&lt;wsp:rsid wsp:val=&quot;78DB3308&quot;/&gt;&lt;wsp:rsid wsp:val=&quot;790E4F15&quot;/&gt;&lt;wsp:rsid wsp:val=&quot;7974613D&quot;/&gt;&lt;wsp:rsid wsp:val=&quot;7A102EAC&quot;/&gt;&lt;wsp:rsid wsp:val=&quot;7A181268&quot;/&gt;&lt;wsp:rsid wsp:val=&quot;7A364017&quot;/&gt;&lt;wsp:rsid wsp:val=&quot;7A8265E1&quot;/&gt;&lt;wsp:rsid wsp:val=&quot;7AA91E53&quot;/&gt;&lt;wsp:rsid wsp:val=&quot;7B641393&quot;/&gt;&lt;wsp:rsid wsp:val=&quot;7B686D42&quot;/&gt;&lt;wsp:rsid wsp:val=&quot;7B841746&quot;/&gt;&lt;wsp:rsid wsp:val=&quot;7B933A26&quot;/&gt;&lt;wsp:rsid wsp:val=&quot;7BCC6F38&quot;/&gt;&lt;wsp:rsid wsp:val=&quot;7BD1454E&quot;/&gt;&lt;wsp:rsid wsp:val=&quot;7BD8392F&quot;/&gt;&lt;wsp:rsid wsp:val=&quot;7C0A35A6&quot;/&gt;&lt;wsp:rsid wsp:val=&quot;7C3C40BE&quot;/&gt;&lt;wsp:rsid wsp:val=&quot;7C424FBE&quot;/&gt;&lt;wsp:rsid wsp:val=&quot;7C4E408C&quot;/&gt;&lt;wsp:rsid wsp:val=&quot;7C5C7B16&quot;/&gt;&lt;wsp:rsid wsp:val=&quot;7C6C5AC7&quot;/&gt;&lt;wsp:rsid wsp:val=&quot;7CA42E56&quot;/&gt;&lt;wsp:rsid wsp:val=&quot;7CBC51FE&quot;/&gt;&lt;wsp:rsid wsp:val=&quot;7CC6544B&quot;/&gt;&lt;wsp:rsid wsp:val=&quot;7CC6608C&quot;/&gt;&lt;wsp:rsid wsp:val=&quot;7CD24A22&quot;/&gt;&lt;wsp:rsid wsp:val=&quot;7CFD2DEF&quot;/&gt;&lt;wsp:rsid wsp:val=&quot;7D0239FF&quot;/&gt;&lt;wsp:rsid wsp:val=&quot;7D0D15B6&quot;/&gt;&lt;wsp:rsid wsp:val=&quot;7D1B1F25&quot;/&gt;&lt;wsp:rsid wsp:val=&quot;7D2C1DAB&quot;/&gt;&lt;wsp:rsid wsp:val=&quot;7D307E9D&quot;/&gt;&lt;wsp:rsid wsp:val=&quot;7D515947&quot;/&gt;&lt;wsp:rsid wsp:val=&quot;7D572F04&quot;/&gt;&lt;wsp:rsid wsp:val=&quot;7D5E40CD&quot;/&gt;&lt;wsp:rsid wsp:val=&quot;7DCD56F2&quot;/&gt;&lt;wsp:rsid wsp:val=&quot;7DDB71B7&quot;/&gt;&lt;wsp:rsid wsp:val=&quot;7DF21E4B&quot;/&gt;&lt;wsp:rsid wsp:val=&quot;7E4A1AC2&quot;/&gt;&lt;wsp:rsid wsp:val=&quot;7E5E59BF&quot;/&gt;&lt;wsp:rsid wsp:val=&quot;7E68119A&quot;/&gt;&lt;wsp:rsid wsp:val=&quot;7E9637B2&quot;/&gt;&lt;wsp:rsid wsp:val=&quot;7EB376D4&quot;/&gt;&lt;wsp:rsid wsp:val=&quot;7F001CE7&quot;/&gt;&lt;wsp:rsid wsp:val=&quot;7F1255AA&quot;/&gt;&lt;wsp:rsid wsp:val=&quot;7F1E5CFC&quot;/&gt;&lt;wsp:rsid wsp:val=&quot;7F8900D5&quot;/&gt;&lt;wsp:rsid wsp:val=&quot;7FA16F1B&quot;/&gt;&lt;wsp:rsid wsp:val=&quot;7FE47E50&quot;/&gt;&lt;wsp:rsid wsp:val=&quot;7FF50432&quot;/&gt;&lt;/wsp:rsids&gt;&lt;/w:docPr&gt;&lt;w:body&gt;&lt;w:p wsp:rsidR=&quot;00000000&quot; wsp:rsidRDefault=&quot;00505D0D&quot;&gt;&lt;m:oMathPara&gt;&lt;m:oMath&gt;&lt;m:f&gt;&lt;m:fPr&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x:font wx:val=&quot;Cambria Math&quot;/&gt;&lt;w:sz w:val=&quot;28&quot;/&gt;&lt;w:sz-cs w:val=&quot;28&quot;/&gt;&lt;/w:rPr&gt;&lt;m:t&gt;q&lt;/m:t&gt;&lt;/m:r&gt;&lt;/m:e&gt;&lt;m:sub&gt;&lt;m:r&gt;&lt;m:rPr&gt;&lt;m:sty m:val=&quot;p&quot;/&gt;&lt;/m:rPr&gt;&lt;w:rPr&gt;&lt;w:rFonts w:ascii=&quot;Cambria Math&quot;/&gt;&lt;wx:font wx:val=&quot;Cambria Math&quot;/&gt;&lt;w:sz w:val=&quot;28&quot;/&gt;&lt;w:sz-cs w:val=&quot;28&quot;/&gt;&lt;/w:rPr&gt;&lt;m:t&gt;4&lt;/m:t&gt;&lt;/m:r&gt;&lt;/m:sub&gt;&lt;/m:sSub&gt;&lt;m:r&gt;&lt;m:rPr&gt;&lt;m:sty m:val=&quot;p&quot;/&gt;&lt;/m:rPr&gt;&lt;w:rPr&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x:font wx:val=&quot;Cambria Math&quot;/&gt;&lt;w:sz w:val=&quot;28&quot;/&gt;&lt;w:sz-cs w:val=&quot;28&quot;/&gt;&lt;/w:rPr&gt;&lt;m:t&gt;Q&lt;/m:t&gt;&lt;/m:r&gt;&lt;/m:e&gt;&lt;m:sub&gt;&lt;m:r&gt;&lt;m:rPr&gt;&lt;m:sty m:val=&quot;p&quot;/&gt;&lt;/m:rPr&gt;&lt;w:rPr&gt;&lt;w:rFonts w:ascii=&quot;Cambria Math&quot;/&gt;&lt;wx:font wx:val=&quot;Cambria Math&quot;/&gt;&lt;w:sz w:val=&quot;28&quot;/&gt;&lt;w:sz-cs w:val=&quot;28&quot;/&gt;&lt;/w:rPr&gt;&lt;m:t&gt;net&lt;/m:t&gt;&lt;/m:r&gt;&lt;m:r&gt;&lt;m:rPr&gt;&lt;m:sty m:val=&quot;p&quot;/&gt;&lt;/m:rPr&gt;&lt;w:rPr&gt;&lt;wx:font wx:val=&quot;宋体&quot;/&gt;&lt;w:sz w:val=&quot;28&quot;/&gt;&lt;w:sz-cs w:val=&quot;28&quot;/&gt;&lt;/w:rPr&gt;&lt;m:t&gt;，&lt;/m:t&gt;&lt;/m:r&gt;&lt;m:r&gt;&lt;m:rPr&gt;&lt;m:sty m:val=&quot;p&quot;/&gt;&lt;/m:rPr&gt;&lt;w:rPr&gt;&lt;w:rFonts w:ascii=&quot;Cambria Math&quot;/&gt;&lt;wx:font wx:val=&quot;Cambria Math&quot;/&gt;&lt;w:sz w:val=&quot;28&quot;/&gt;&lt;w:sz-cs w:val=&quot;28&quot;/&gt;&lt;/w:rPr&gt;&lt;m:t&gt;ar&lt;/m:t&gt;&lt;/m:r&gt;&lt;/m:sub&gt;&lt;/m:sSub&gt;&lt;/m:num&gt;&lt;m:den&gt;&lt;m:r&gt;&lt;m:rPr&gt;&lt;m:sty m:val=&quot;p&quot;/&gt;&lt;/m:rPr&gt;&lt;w:rPr&gt;&lt;w:rFonts w:ascii=&quot;Cambria Math&quot;/&gt;&lt;wx:font wx:val=&quot;Cambria Math&quot;/&gt;&lt;w:sz w:val=&quot;28&quot;/&gt;&lt;w:sz-cs w:val=&quot;28&quot;/&gt;&lt;/w:rPr&gt;&lt;m:t&gt;100&lt;/m:t&gt;&lt;/m:r&gt;&lt;m:r&gt;&lt;m:rPr&gt;&lt;m:sty m:val=&quot;p&quot;/&gt;&lt;/m:rPr&gt;&lt;w:rPr&gt;&lt;w:sz w:val=&quot;28&quot;/&gt;&lt;w:sz-cs w:val=&quot;28&quot;/&gt;&lt;/w:rPr&gt;&lt;m:t&gt;×&lt;/m:t&gt;&lt;/m:r&gt;&lt;m:r&gt;&lt;m:rPr&gt;&lt;m:sty m:val=&quot;p&quot;/&gt;&lt;/m:rPr&gt;&lt;w:rPr&gt;&lt;w:rFonts w:ascii=&quot;Cambria Math&quot;/&gt;&lt;wx:font wx:val=&quot;Cambria Math&quot;/&gt;&lt;w:sz w:val=&quot;28&quot;/&gt;&lt;w:sz-cs w:val=&quot;28&quot;/&gt;&lt;/w:rPr&gt;&lt;m:t&gt;33870&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30" chromakey="#FFFFFF" o:title=""/>
                  <o:lock v:ext="edit" aspectratio="t"/>
                  <w10:wrap type="none"/>
                  <w10:anchorlock/>
                </v:shape>
              </w:pict>
            </w:r>
            <w:r>
              <w:rPr>
                <w:color w:val="auto"/>
                <w:sz w:val="28"/>
                <w:szCs w:val="28"/>
              </w:rPr>
              <w:instrText xml:space="preserve"> </w:instrText>
            </w:r>
            <w:r>
              <w:rPr>
                <w:color w:val="auto"/>
                <w:sz w:val="28"/>
                <w:szCs w:val="28"/>
              </w:rPr>
              <w:fldChar w:fldCharType="separate"/>
            </w:r>
            <w:r>
              <w:rPr>
                <w:color w:val="auto"/>
                <w:position w:val="-15"/>
              </w:rPr>
              <w:pict>
                <v:shape id="_x0000_i1028" o:spt="75" type="#_x0000_t75" style="height:27.75pt;width:57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stylePaneFormatFilter w:val=&quot;3F01&quot;/&gt;&lt;w:documentProtection w:edit=&quot;tracked-changes&quot; w:enforcement=&quot;off&quot;/&gt;&lt;w:defaultTabStop w:val=&quot;420&quot;/&gt;&lt;w:characterSpacingControl w:val=&quot;DontCompress&quot;/&gt;&lt;w:webPageEncoding w:val=&quot;x-cp20936&quot;/&gt;&lt;w:optimizeForBrowser/&gt;&lt;w:validateAgainstSchema/&gt;&lt;w:saveInvalidXML w:val=&quot;off&quot;/&gt;&lt;w:ignoreMixedContent w:val=&quot;off&quot;/&gt;&lt;w:alwaysShowPlaceholderText w:val=&quot;off&quot;/&gt;&lt;w:compat&gt;&lt;w:balanceSingleByteDoubleByteWidth/&gt;&lt;w:ulTrailSpace/&gt;&lt;w:doNotExpandShiftReturn/&gt;&lt;w:adjustLineHeightInTable/&gt;&lt;w:breakWrappedTables/&gt;&lt;w:snapToGridInCell/&gt;&lt;w:dontGrowAutofit/&gt;&lt;w:useFELayout/&gt;&lt;/w:compat&gt;&lt;w:docVars&gt;&lt;w:docVar w:name=&quot;commondata&quot; w:val=&quot;eyJoZGlkIjoiMjI5NmZiYjc0MzdhMzA3NzNhM2UwOTFhMjljNjgzNDAifQ==&quot;/&gt;&lt;/w:docVars&gt;&lt;wsp:rsids&gt;&lt;wsp:rsidRoot wsp:val=&quot;00A14947&quot;/&gt;&lt;wsp:rsid wsp:val=&quot;0000070D&quot;/&gt;&lt;wsp:rsid wsp:val=&quot;00000718&quot;/&gt;&lt;wsp:rsid wsp:val=&quot;000010EF&quot;/&gt;&lt;wsp:rsid wsp:val=&quot;00001EE4&quot;/&gt;&lt;wsp:rsid wsp:val=&quot;00002D64&quot;/&gt;&lt;wsp:rsid wsp:val=&quot;00003EE0&quot;/&gt;&lt;wsp:rsid wsp:val=&quot;00005593&quot;/&gt;&lt;wsp:rsid wsp:val=&quot;000060B3&quot;/&gt;&lt;wsp:rsid wsp:val=&quot;00010066&quot;/&gt;&lt;wsp:rsid wsp:val=&quot;00012959&quot;/&gt;&lt;wsp:rsid wsp:val=&quot;00014BF1&quot;/&gt;&lt;wsp:rsid wsp:val=&quot;00015405&quot;/&gt;&lt;wsp:rsid wsp:val=&quot;0001681B&quot;/&gt;&lt;wsp:rsid wsp:val=&quot;0002034C&quot;/&gt;&lt;wsp:rsid wsp:val=&quot;000245D8&quot;/&gt;&lt;wsp:rsid wsp:val=&quot;00031513&quot;/&gt;&lt;wsp:rsid wsp:val=&quot;00036DA1&quot;/&gt;&lt;wsp:rsid wsp:val=&quot;00041039&quot;/&gt;&lt;wsp:rsid wsp:val=&quot;0004188E&quot;/&gt;&lt;wsp:rsid wsp:val=&quot;0004364B&quot;/&gt;&lt;wsp:rsid wsp:val=&quot;00043CFF&quot;/&gt;&lt;wsp:rsid wsp:val=&quot;0005244D&quot;/&gt;&lt;wsp:rsid wsp:val=&quot;00056DBE&quot;/&gt;&lt;wsp:rsid wsp:val=&quot;00060BBB&quot;/&gt;&lt;wsp:rsid wsp:val=&quot;00061B1F&quot;/&gt;&lt;wsp:rsid wsp:val=&quot;0006236C&quot;/&gt;&lt;wsp:rsid wsp:val=&quot;00063A72&quot;/&gt;&lt;wsp:rsid wsp:val=&quot;00065CFE&quot;/&gt;&lt;wsp:rsid wsp:val=&quot;00066766&quot;/&gt;&lt;wsp:rsid wsp:val=&quot;00067AA7&quot;/&gt;&lt;wsp:rsid wsp:val=&quot;000730CB&quot;/&gt;&lt;wsp:rsid wsp:val=&quot;000733C4&quot;/&gt;&lt;wsp:rsid wsp:val=&quot;00074783&quot;/&gt;&lt;wsp:rsid wsp:val=&quot;000804DD&quot;/&gt;&lt;wsp:rsid wsp:val=&quot;0008070B&quot;/&gt;&lt;wsp:rsid wsp:val=&quot;000810AC&quot;/&gt;&lt;wsp:rsid wsp:val=&quot;00081A02&quot;/&gt;&lt;wsp:rsid wsp:val=&quot;00082231&quot;/&gt;&lt;wsp:rsid wsp:val=&quot;00085255&quot;/&gt;&lt;wsp:rsid wsp:val=&quot;00086BAB&quot;/&gt;&lt;wsp:rsid wsp:val=&quot;00092D30&quot;/&gt;&lt;wsp:rsid wsp:val=&quot;00092D38&quot;/&gt;&lt;wsp:rsid wsp:val=&quot;000933A5&quot;/&gt;&lt;wsp:rsid wsp:val=&quot;00093660&quot;/&gt;&lt;wsp:rsid wsp:val=&quot;00093719&quot;/&gt;&lt;wsp:rsid wsp:val=&quot;0009377B&quot;/&gt;&lt;wsp:rsid wsp:val=&quot;00093D7F&quot;/&gt;&lt;wsp:rsid wsp:val=&quot;000A03D2&quot;/&gt;&lt;wsp:rsid wsp:val=&quot;000A0696&quot;/&gt;&lt;wsp:rsid wsp:val=&quot;000A20C9&quot;/&gt;&lt;wsp:rsid wsp:val=&quot;000A6116&quot;/&gt;&lt;wsp:rsid wsp:val=&quot;000B058F&quot;/&gt;&lt;wsp:rsid wsp:val=&quot;000B1A31&quot;/&gt;&lt;wsp:rsid wsp:val=&quot;000B4467&quot;/&gt;&lt;wsp:rsid wsp:val=&quot;000B46C8&quot;/&gt;&lt;wsp:rsid wsp:val=&quot;000B4DB9&quot;/&gt;&lt;wsp:rsid wsp:val=&quot;000B5271&quot;/&gt;&lt;wsp:rsid wsp:val=&quot;000C09AC&quot;/&gt;&lt;wsp:rsid wsp:val=&quot;000C3F30&quot;/&gt;&lt;wsp:rsid wsp:val=&quot;000C569A&quot;/&gt;&lt;wsp:rsid wsp:val=&quot;000C5B85&quot;/&gt;&lt;wsp:rsid wsp:val=&quot;000C5E3A&quot;/&gt;&lt;wsp:rsid wsp:val=&quot;000C767F&quot;/&gt;&lt;wsp:rsid wsp:val=&quot;000D09D8&quot;/&gt;&lt;wsp:rsid wsp:val=&quot;000D1E4D&quot;/&gt;&lt;wsp:rsid wsp:val=&quot;000D5A44&quot;/&gt;&lt;wsp:rsid wsp:val=&quot;000D5D91&quot;/&gt;&lt;wsp:rsid wsp:val=&quot;000D642F&quot;/&gt;&lt;wsp:rsid wsp:val=&quot;000E0E7F&quot;/&gt;&lt;wsp:rsid wsp:val=&quot;000E23B8&quot;/&gt;&lt;wsp:rsid wsp:val=&quot;000E3ED2&quot;/&gt;&lt;wsp:rsid wsp:val=&quot;000E620E&quot;/&gt;&lt;wsp:rsid wsp:val=&quot;000F5A6A&quot;/&gt;&lt;wsp:rsid wsp:val=&quot;0010026B&quot;/&gt;&lt;wsp:rsid wsp:val=&quot;00100946&quot;/&gt;&lt;wsp:rsid wsp:val=&quot;00102CE8&quot;/&gt;&lt;wsp:rsid wsp:val=&quot;00105237&quot;/&gt;&lt;wsp:rsid wsp:val=&quot;0011022F&quot;/&gt;&lt;wsp:rsid wsp:val=&quot;00111BCC&quot;/&gt;&lt;wsp:rsid wsp:val=&quot;001128D3&quot;/&gt;&lt;wsp:rsid wsp:val=&quot;00113901&quot;/&gt;&lt;wsp:rsid wsp:val=&quot;00124B90&quot;/&gt;&lt;wsp:rsid wsp:val=&quot;00126A96&quot;/&gt;&lt;wsp:rsid wsp:val=&quot;00126E17&quot;/&gt;&lt;wsp:rsid wsp:val=&quot;00126F6D&quot;/&gt;&lt;wsp:rsid wsp:val=&quot;00131F42&quot;/&gt;&lt;wsp:rsid wsp:val=&quot;00132BD8&quot;/&gt;&lt;wsp:rsid wsp:val=&quot;0013512B&quot;/&gt;&lt;wsp:rsid wsp:val=&quot;001357F1&quot;/&gt;&lt;wsp:rsid wsp:val=&quot;0013609D&quot;/&gt;&lt;wsp:rsid wsp:val=&quot;0014039F&quot;/&gt;&lt;wsp:rsid wsp:val=&quot;00140FA8&quot;/&gt;&lt;wsp:rsid wsp:val=&quot;00141085&quot;/&gt;&lt;wsp:rsid wsp:val=&quot;00142C7B&quot;/&gt;&lt;wsp:rsid wsp:val=&quot;00142DFC&quot;/&gt;&lt;wsp:rsid wsp:val=&quot;00142FEB&quot;/&gt;&lt;wsp:rsid wsp:val=&quot;001435D3&quot;/&gt;&lt;wsp:rsid wsp:val=&quot;00143A2D&quot;/&gt;&lt;wsp:rsid wsp:val=&quot;00145308&quot;/&gt;&lt;wsp:rsid wsp:val=&quot;00145A41&quot;/&gt;&lt;wsp:rsid wsp:val=&quot;00145DCD&quot;/&gt;&lt;wsp:rsid wsp:val=&quot;00151675&quot;/&gt;&lt;wsp:rsid wsp:val=&quot;00151C85&quot;/&gt;&lt;wsp:rsid wsp:val=&quot;00152725&quot;/&gt;&lt;wsp:rsid wsp:val=&quot;0015380C&quot;/&gt;&lt;wsp:rsid wsp:val=&quot;00153D22&quot;/&gt;&lt;wsp:rsid wsp:val=&quot;00156C5C&quot;/&gt;&lt;wsp:rsid wsp:val=&quot;00157435&quot;/&gt;&lt;wsp:rsid wsp:val=&quot;00165A39&quot;/&gt;&lt;wsp:rsid wsp:val=&quot;00167252&quot;/&gt;&lt;wsp:rsid wsp:val=&quot;001713F7&quot;/&gt;&lt;wsp:rsid wsp:val=&quot;00172069&quot;/&gt;&lt;wsp:rsid wsp:val=&quot;0017504D&quot;/&gt;&lt;wsp:rsid wsp:val=&quot;00176248&quot;/&gt;&lt;wsp:rsid wsp:val=&quot;0017671A&quot;/&gt;&lt;wsp:rsid wsp:val=&quot;00177422&quot;/&gt;&lt;wsp:rsid wsp:val=&quot;0018073C&quot;/&gt;&lt;wsp:rsid wsp:val=&quot;001820D7&quot;/&gt;&lt;wsp:rsid wsp:val=&quot;00183F85&quot;/&gt;&lt;wsp:rsid wsp:val=&quot;00184590&quot;/&gt;&lt;wsp:rsid wsp:val=&quot;001870D1&quot;/&gt;&lt;wsp:rsid wsp:val=&quot;0018781E&quot;/&gt;&lt;wsp:rsid wsp:val=&quot;00187DA5&quot;/&gt;&lt;wsp:rsid wsp:val=&quot;0019262D&quot;/&gt;&lt;wsp:rsid wsp:val=&quot;001956AC&quot;/&gt;&lt;wsp:rsid wsp:val=&quot;00196784&quot;/&gt;&lt;wsp:rsid wsp:val=&quot;0019687F&quot;/&gt;&lt;wsp:rsid wsp:val=&quot;00197513&quot;/&gt;&lt;wsp:rsid wsp:val=&quot;001A03DE&quot;/&gt;&lt;wsp:rsid wsp:val=&quot;001A1B35&quot;/&gt;&lt;wsp:rsid wsp:val=&quot;001A2277&quot;/&gt;&lt;wsp:rsid wsp:val=&quot;001A48A2&quot;/&gt;&lt;wsp:rsid wsp:val=&quot;001A6066&quot;/&gt;&lt;wsp:rsid wsp:val=&quot;001A671D&quot;/&gt;&lt;wsp:rsid wsp:val=&quot;001A6F61&quot;/&gt;&lt;wsp:rsid wsp:val=&quot;001A7F87&quot;/&gt;&lt;wsp:rsid wsp:val=&quot;001B2CB5&quot;/&gt;&lt;wsp:rsid wsp:val=&quot;001B72B8&quot;/&gt;&lt;wsp:rsid wsp:val=&quot;001C0AFA&quot;/&gt;&lt;wsp:rsid wsp:val=&quot;001C177F&quot;/&gt;&lt;wsp:rsid wsp:val=&quot;001C18AE&quot;/&gt;&lt;wsp:rsid wsp:val=&quot;001C445B&quot;/&gt;&lt;wsp:rsid wsp:val=&quot;001C5B74&quot;/&gt;&lt;wsp:rsid wsp:val=&quot;001C69B3&quot;/&gt;&lt;wsp:rsid wsp:val=&quot;001D100C&quot;/&gt;&lt;wsp:rsid wsp:val=&quot;001D4A9F&quot;/&gt;&lt;wsp:rsid wsp:val=&quot;001D5595&quot;/&gt;&lt;wsp:rsid wsp:val=&quot;001D7874&quot;/&gt;&lt;wsp:rsid wsp:val=&quot;001D7F22&quot;/&gt;&lt;wsp:rsid wsp:val=&quot;001E6D91&quot;/&gt;&lt;wsp:rsid wsp:val=&quot;001F09D0&quot;/&gt;&lt;wsp:rsid wsp:val=&quot;001F0F17&quot;/&gt;&lt;wsp:rsid wsp:val=&quot;001F1A85&quot;/&gt;&lt;wsp:rsid wsp:val=&quot;001F3347&quot;/&gt;&lt;wsp:rsid wsp:val=&quot;001F336F&quot;/&gt;&lt;wsp:rsid wsp:val=&quot;001F3524&quot;/&gt;&lt;wsp:rsid wsp:val=&quot;001F4E5F&quot;/&gt;&lt;wsp:rsid wsp:val=&quot;001F62ED&quot;/&gt;&lt;wsp:rsid wsp:val=&quot;001F69E4&quot;/&gt;&lt;wsp:rsid wsp:val=&quot;00202476&quot;/&gt;&lt;wsp:rsid wsp:val=&quot;0020631F&quot;/&gt;&lt;wsp:rsid wsp:val=&quot;00212110&quot;/&gt;&lt;wsp:rsid wsp:val=&quot;002125B4&quot;/&gt;&lt;wsp:rsid wsp:val=&quot;002155B8&quot;/&gt;&lt;wsp:rsid wsp:val=&quot;00215806&quot;/&gt;&lt;wsp:rsid wsp:val=&quot;00215988&quot;/&gt;&lt;wsp:rsid wsp:val=&quot;00220B62&quot;/&gt;&lt;wsp:rsid wsp:val=&quot;00224839&quot;/&gt;&lt;wsp:rsid wsp:val=&quot;002249B2&quot;/&gt;&lt;wsp:rsid wsp:val=&quot;002256FF&quot;/&gt;&lt;wsp:rsid wsp:val=&quot;0022596E&quot;/&gt;&lt;wsp:rsid wsp:val=&quot;00226574&quot;/&gt;&lt;wsp:rsid wsp:val=&quot;002273C7&quot;/&gt;&lt;wsp:rsid wsp:val=&quot;002278EC&quot;/&gt;&lt;wsp:rsid wsp:val=&quot;002304AA&quot;/&gt;&lt;wsp:rsid wsp:val=&quot;0023280E&quot;/&gt;&lt;wsp:rsid wsp:val=&quot;00234566&quot;/&gt;&lt;wsp:rsid wsp:val=&quot;00235E20&quot;/&gt;&lt;wsp:rsid wsp:val=&quot;00236972&quot;/&gt;&lt;wsp:rsid wsp:val=&quot;002377D1&quot;/&gt;&lt;wsp:rsid wsp:val=&quot;00241E01&quot;/&gt;&lt;wsp:rsid wsp:val=&quot;00241E30&quot;/&gt;&lt;wsp:rsid wsp:val=&quot;0024582C&quot;/&gt;&lt;wsp:rsid wsp:val=&quot;0024692A&quot;/&gt;&lt;wsp:rsid wsp:val=&quot;002506BC&quot;/&gt;&lt;wsp:rsid wsp:val=&quot;002516DE&quot;/&gt;&lt;wsp:rsid wsp:val=&quot;00252DCE&quot;/&gt;&lt;wsp:rsid wsp:val=&quot;00254345&quot;/&gt;&lt;wsp:rsid wsp:val=&quot;00254B4B&quot;/&gt;&lt;wsp:rsid wsp:val=&quot;0025524D&quot;/&gt;&lt;wsp:rsid wsp:val=&quot;00257A5E&quot;/&gt;&lt;wsp:rsid wsp:val=&quot;002643DD&quot;/&gt;&lt;wsp:rsid wsp:val=&quot;00264557&quot;/&gt;&lt;wsp:rsid wsp:val=&quot;00267C15&quot;/&gt;&lt;wsp:rsid wsp:val=&quot;002709A2&quot;/&gt;&lt;wsp:rsid wsp:val=&quot;00271811&quot;/&gt;&lt;wsp:rsid wsp:val=&quot;002800C4&quot;/&gt;&lt;wsp:rsid wsp:val=&quot;002805AB&quot;/&gt;&lt;wsp:rsid wsp:val=&quot;002821E6&quot;/&gt;&lt;wsp:rsid wsp:val=&quot;00284204&quot;/&gt;&lt;wsp:rsid wsp:val=&quot;002845CC&quot;/&gt;&lt;wsp:rsid wsp:val=&quot;00287707&quot;/&gt;&lt;wsp:rsid wsp:val=&quot;00291773&quot;/&gt;&lt;wsp:rsid wsp:val=&quot;00292D24&quot;/&gt;&lt;wsp:rsid wsp:val=&quot;0029638B&quot;/&gt;&lt;wsp:rsid wsp:val=&quot;00296986&quot;/&gt;&lt;wsp:rsid wsp:val=&quot;002A0C36&quot;/&gt;&lt;wsp:rsid wsp:val=&quot;002A168C&quot;/&gt;&lt;wsp:rsid wsp:val=&quot;002A3DC7&quot;/&gt;&lt;wsp:rsid wsp:val=&quot;002A4CB9&quot;/&gt;&lt;wsp:rsid wsp:val=&quot;002A4D20&quot;/&gt;&lt;wsp:rsid wsp:val=&quot;002A6078&quot;/&gt;&lt;wsp:rsid wsp:val=&quot;002A7B7D&quot;/&gt;&lt;wsp:rsid wsp:val=&quot;002B22D8&quot;/&gt;&lt;wsp:rsid wsp:val=&quot;002B34A1&quot;/&gt;&lt;wsp:rsid wsp:val=&quot;002B34E3&quot;/&gt;&lt;wsp:rsid wsp:val=&quot;002B49E2&quot;/&gt;&lt;wsp:rsid wsp:val=&quot;002B60E6&quot;/&gt;&lt;wsp:rsid wsp:val=&quot;002B7B00&quot;/&gt;&lt;wsp:rsid wsp:val=&quot;002B7C44&quot;/&gt;&lt;wsp:rsid wsp:val=&quot;002C24F6&quot;/&gt;&lt;wsp:rsid wsp:val=&quot;002C296F&quot;/&gt;&lt;wsp:rsid wsp:val=&quot;002C2ACD&quot;/&gt;&lt;wsp:rsid wsp:val=&quot;002C2B17&quot;/&gt;&lt;wsp:rsid wsp:val=&quot;002C3858&quot;/&gt;&lt;wsp:rsid wsp:val=&quot;002C4883&quot;/&gt;&lt;wsp:rsid wsp:val=&quot;002C608A&quot;/&gt;&lt;wsp:rsid wsp:val=&quot;002C7AB1&quot;/&gt;&lt;wsp:rsid wsp:val=&quot;002D122F&quot;/&gt;&lt;wsp:rsid wsp:val=&quot;002D2C8E&quot;/&gt;&lt;wsp:rsid wsp:val=&quot;002D3DD0&quot;/&gt;&lt;wsp:rsid wsp:val=&quot;002D593E&quot;/&gt;&lt;wsp:rsid wsp:val=&quot;002D702E&quot;/&gt;&lt;wsp:rsid wsp:val=&quot;002E1F3A&quot;/&gt;&lt;wsp:rsid wsp:val=&quot;002E298A&quot;/&gt;&lt;wsp:rsid wsp:val=&quot;002E2F3C&quot;/&gt;&lt;wsp:rsid wsp:val=&quot;002E7700&quot;/&gt;&lt;wsp:rsid wsp:val=&quot;002F2C81&quot;/&gt;&lt;wsp:rsid wsp:val=&quot;002F2E67&quot;/&gt;&lt;wsp:rsid wsp:val=&quot;002F4D32&quot;/&gt;&lt;wsp:rsid wsp:val=&quot;00301978&quot;/&gt;&lt;wsp:rsid wsp:val=&quot;00302FE7&quot;/&gt;&lt;wsp:rsid wsp:val=&quot;0030332C&quot;/&gt;&lt;wsp:rsid wsp:val=&quot;00303C66&quot;/&gt;&lt;wsp:rsid wsp:val=&quot;003051C2&quot;/&gt;&lt;wsp:rsid wsp:val=&quot;00305FB7&quot;/&gt;&lt;wsp:rsid wsp:val=&quot;003069F6&quot;/&gt;&lt;wsp:rsid wsp:val=&quot;00311D99&quot;/&gt;&lt;wsp:rsid wsp:val=&quot;00311F4E&quot;/&gt;&lt;wsp:rsid wsp:val=&quot;00312296&quot;/&gt;&lt;wsp:rsid wsp:val=&quot;00312C3E&quot;/&gt;&lt;wsp:rsid wsp:val=&quot;00312F02&quot;/&gt;&lt;wsp:rsid wsp:val=&quot;0031333D&quot;/&gt;&lt;wsp:rsid wsp:val=&quot;0031373A&quot;/&gt;&lt;wsp:rsid wsp:val=&quot;00314F0E&quot;/&gt;&lt;wsp:rsid wsp:val=&quot;00317FBD&quot;/&gt;&lt;wsp:rsid wsp:val=&quot;00321D8E&quot;/&gt;&lt;wsp:rsid wsp:val=&quot;00325928&quot;/&gt;&lt;wsp:rsid wsp:val=&quot;00326D90&quot;/&gt;&lt;wsp:rsid wsp:val=&quot;00332742&quot;/&gt;&lt;wsp:rsid wsp:val=&quot;0033280A&quot;/&gt;&lt;wsp:rsid wsp:val=&quot;00332863&quot;/&gt;&lt;wsp:rsid wsp:val=&quot;00333FCE&quot;/&gt;&lt;wsp:rsid wsp:val=&quot;00335265&quot;/&gt;&lt;wsp:rsid wsp:val=&quot;00335364&quot;/&gt;&lt;wsp:rsid wsp:val=&quot;0033684D&quot;/&gt;&lt;wsp:rsid wsp:val=&quot;00336B9F&quot;/&gt;&lt;wsp:rsid wsp:val=&quot;00337B42&quot;/&gt;&lt;wsp:rsid wsp:val=&quot;00340D1F&quot;/&gt;&lt;wsp:rsid wsp:val=&quot;00341B42&quot;/&gt;&lt;wsp:rsid wsp:val=&quot;0034269A&quot;/&gt;&lt;wsp:rsid wsp:val=&quot;0034348F&quot;/&gt;&lt;wsp:rsid wsp:val=&quot;00350CFF&quot;/&gt;&lt;wsp:rsid wsp:val=&quot;00353222&quot;/&gt;&lt;wsp:rsid wsp:val=&quot;00355306&quot;/&gt;&lt;wsp:rsid wsp:val=&quot;0035581D&quot;/&gt;&lt;wsp:rsid wsp:val=&quot;00356653&quot;/&gt;&lt;wsp:rsid wsp:val=&quot;0035743F&quot;/&gt;&lt;wsp:rsid wsp:val=&quot;00357BE2&quot;/&gt;&lt;wsp:rsid wsp:val=&quot;0036170C&quot;/&gt;&lt;wsp:rsid wsp:val=&quot;00361BD1&quot;/&gt;&lt;wsp:rsid wsp:val=&quot;003638C7&quot;/&gt;&lt;wsp:rsid wsp:val=&quot;003647F6&quot;/&gt;&lt;wsp:rsid wsp:val=&quot;00364AE8&quot;/&gt;&lt;wsp:rsid wsp:val=&quot;00366E0F&quot;/&gt;&lt;wsp:rsid wsp:val=&quot;00367FB4&quot;/&gt;&lt;wsp:rsid wsp:val=&quot;00371C4F&quot;/&gt;&lt;wsp:rsid wsp:val=&quot;003731F2&quot;/&gt;&lt;wsp:rsid wsp:val=&quot;00376A4F&quot;/&gt;&lt;wsp:rsid wsp:val=&quot;00377471&quot;/&gt;&lt;wsp:rsid wsp:val=&quot;00377C82&quot;/&gt;&lt;wsp:rsid wsp:val=&quot;00381A72&quot;/&gt;&lt;wsp:rsid wsp:val=&quot;00383783&quot;/&gt;&lt;wsp:rsid wsp:val=&quot;0038409E&quot;/&gt;&lt;wsp:rsid wsp:val=&quot;00384676&quot;/&gt;&lt;wsp:rsid wsp:val=&quot;00385F28&quot;/&gt;&lt;wsp:rsid wsp:val=&quot;00390857&quot;/&gt;&lt;wsp:rsid wsp:val=&quot;0039458F&quot;/&gt;&lt;wsp:rsid wsp:val=&quot;003A3785&quot;/&gt;&lt;wsp:rsid wsp:val=&quot;003A4BF3&quot;/&gt;&lt;wsp:rsid wsp:val=&quot;003B1798&quot;/&gt;&lt;wsp:rsid wsp:val=&quot;003B38F8&quot;/&gt;&lt;wsp:rsid wsp:val=&quot;003B420D&quot;/&gt;&lt;wsp:rsid wsp:val=&quot;003C01A9&quot;/&gt;&lt;wsp:rsid wsp:val=&quot;003C0F25&quot;/&gt;&lt;wsp:rsid wsp:val=&quot;003C1C0D&quot;/&gt;&lt;wsp:rsid wsp:val=&quot;003C2BEC&quot;/&gt;&lt;wsp:rsid wsp:val=&quot;003C6C16&quot;/&gt;&lt;wsp:rsid wsp:val=&quot;003C6DD7&quot;/&gt;&lt;wsp:rsid wsp:val=&quot;003C6EAC&quot;/&gt;&lt;wsp:rsid wsp:val=&quot;003D032A&quot;/&gt;&lt;wsp:rsid wsp:val=&quot;003D3FC1&quot;/&gt;&lt;wsp:rsid wsp:val=&quot;003D6067&quot;/&gt;&lt;wsp:rsid wsp:val=&quot;003D794D&quot;/&gt;&lt;wsp:rsid wsp:val=&quot;003D7EE9&quot;/&gt;&lt;wsp:rsid wsp:val=&quot;003E15AA&quot;/&gt;&lt;wsp:rsid wsp:val=&quot;003E18FE&quot;/&gt;&lt;wsp:rsid wsp:val=&quot;003E3058&quot;/&gt;&lt;wsp:rsid wsp:val=&quot;003E4779&quot;/&gt;&lt;wsp:rsid wsp:val=&quot;003E4ACE&quot;/&gt;&lt;wsp:rsid wsp:val=&quot;003E5F06&quot;/&gt;&lt;wsp:rsid wsp:val=&quot;003E70FF&quot;/&gt;&lt;wsp:rsid wsp:val=&quot;003E719E&quot;/&gt;&lt;wsp:rsid wsp:val=&quot;003E76A9&quot;/&gt;&lt;wsp:rsid wsp:val=&quot;003E7FAC&quot;/&gt;&lt;wsp:rsid wsp:val=&quot;003F0809&quot;/&gt;&lt;wsp:rsid wsp:val=&quot;003F0E67&quot;/&gt;&lt;wsp:rsid wsp:val=&quot;003F1311&quot;/&gt;&lt;wsp:rsid wsp:val=&quot;003F32BD&quot;/&gt;&lt;wsp:rsid wsp:val=&quot;003F6A8C&quot;/&gt;&lt;wsp:rsid wsp:val=&quot;003F6C92&quot;/&gt;&lt;wsp:rsid wsp:val=&quot;003F755C&quot;/&gt;&lt;wsp:rsid wsp:val=&quot;003F7616&quot;/&gt;&lt;wsp:rsid wsp:val=&quot;003F78CF&quot;/&gt;&lt;wsp:rsid wsp:val=&quot;004002D2&quot;/&gt;&lt;wsp:rsid wsp:val=&quot;00400A39&quot;/&gt;&lt;wsp:rsid wsp:val=&quot;00400F0A&quot;/&gt;&lt;wsp:rsid wsp:val=&quot;00406F01&quot;/&gt;&lt;wsp:rsid wsp:val=&quot;00410596&quot;/&gt;&lt;wsp:rsid wsp:val=&quot;00413AFF&quot;/&gt;&lt;wsp:rsid wsp:val=&quot;00413D70&quot;/&gt;&lt;wsp:rsid wsp:val=&quot;0041470A&quot;/&gt;&lt;wsp:rsid wsp:val=&quot;0041491A&quot;/&gt;&lt;wsp:rsid wsp:val=&quot;00415E52&quot;/&gt;&lt;wsp:rsid wsp:val=&quot;00416D50&quot;/&gt;&lt;wsp:rsid wsp:val=&quot;00416F06&quot;/&gt;&lt;wsp:rsid wsp:val=&quot;00416FD5&quot;/&gt;&lt;wsp:rsid wsp:val=&quot;00417772&quot;/&gt;&lt;wsp:rsid wsp:val=&quot;00417D46&quot;/&gt;&lt;wsp:rsid wsp:val=&quot;00420E6A&quot;/&gt;&lt;wsp:rsid wsp:val=&quot;00425A9E&quot;/&gt;&lt;wsp:rsid wsp:val=&quot;00426D6B&quot;/&gt;&lt;wsp:rsid wsp:val=&quot;00431E6C&quot;/&gt;&lt;wsp:rsid wsp:val=&quot;00433B13&quot;/&gt;&lt;wsp:rsid wsp:val=&quot;00433CE7&quot;/&gt;&lt;wsp:rsid wsp:val=&quot;00436372&quot;/&gt;&lt;wsp:rsid wsp:val=&quot;0043649C&quot;/&gt;&lt;wsp:rsid wsp:val=&quot;00437EC1&quot;/&gt;&lt;wsp:rsid wsp:val=&quot;004459B9&quot;/&gt;&lt;wsp:rsid wsp:val=&quot;00450D9A&quot;/&gt;&lt;wsp:rsid wsp:val=&quot;00452738&quot;/&gt;&lt;wsp:rsid wsp:val=&quot;00453A43&quot;/&gt;&lt;wsp:rsid wsp:val=&quot;00456091&quot;/&gt;&lt;wsp:rsid wsp:val=&quot;00460197&quot;/&gt;&lt;wsp:rsid wsp:val=&quot;00460E94&quot;/&gt;&lt;wsp:rsid wsp:val=&quot;00463036&quot;/&gt;&lt;wsp:rsid wsp:val=&quot;00466321&quot;/&gt;&lt;wsp:rsid wsp:val=&quot;00466876&quot;/&gt;&lt;wsp:rsid wsp:val=&quot;00466CA7&quot;/&gt;&lt;wsp:rsid wsp:val=&quot;00471C55&quot;/&gt;&lt;wsp:rsid wsp:val=&quot;00472296&quot;/&gt;&lt;wsp:rsid wsp:val=&quot;004754B3&quot;/&gt;&lt;wsp:rsid wsp:val=&quot;004766E5&quot;/&gt;&lt;wsp:rsid wsp:val=&quot;00477E8F&quot;/&gt;&lt;wsp:rsid wsp:val=&quot;00482283&quot;/&gt;&lt;wsp:rsid wsp:val=&quot;00483155&quot;/&gt;&lt;wsp:rsid wsp:val=&quot;00484B9B&quot;/&gt;&lt;wsp:rsid wsp:val=&quot;00485367&quot;/&gt;&lt;wsp:rsid wsp:val=&quot;004855F6&quot;/&gt;&lt;wsp:rsid wsp:val=&quot;0048661E&quot;/&gt;&lt;wsp:rsid wsp:val=&quot;00491F41&quot;/&gt;&lt;wsp:rsid wsp:val=&quot;0049427B&quot;/&gt;&lt;wsp:rsid wsp:val=&quot;00494670&quot;/&gt;&lt;wsp:rsid wsp:val=&quot;00494B08&quot;/&gt;&lt;wsp:rsid wsp:val=&quot;00494E0F&quot;/&gt;&lt;wsp:rsid wsp:val=&quot;00495C7B&quot;/&gt;&lt;wsp:rsid wsp:val=&quot;00495EBE&quot;/&gt;&lt;wsp:rsid wsp:val=&quot;00497083&quot;/&gt;&lt;wsp:rsid wsp:val=&quot;004A3823&quot;/&gt;&lt;wsp:rsid wsp:val=&quot;004A5051&quot;/&gt;&lt;wsp:rsid wsp:val=&quot;004A7EDB&quot;/&gt;&lt;wsp:rsid wsp:val=&quot;004B5FD7&quot;/&gt;&lt;wsp:rsid wsp:val=&quot;004C0113&quot;/&gt;&lt;wsp:rsid wsp:val=&quot;004C2405&quot;/&gt;&lt;wsp:rsid wsp:val=&quot;004D1A86&quot;/&gt;&lt;wsp:rsid wsp:val=&quot;004D502C&quot;/&gt;&lt;wsp:rsid wsp:val=&quot;004D7476&quot;/&gt;&lt;wsp:rsid wsp:val=&quot;004E41C6&quot;/&gt;&lt;wsp:rsid wsp:val=&quot;004E4CA4&quot;/&gt;&lt;wsp:rsid wsp:val=&quot;004E651B&quot;/&gt;&lt;wsp:rsid wsp:val=&quot;004E67A9&quot;/&gt;&lt;wsp:rsid wsp:val=&quot;004E6946&quot;/&gt;&lt;wsp:rsid wsp:val=&quot;004E70BD&quot;/&gt;&lt;wsp:rsid wsp:val=&quot;004F1AD8&quot;/&gt;&lt;wsp:rsid wsp:val=&quot;004F33F4&quot;/&gt;&lt;wsp:rsid wsp:val=&quot;004F3D47&quot;/&gt;&lt;wsp:rsid wsp:val=&quot;004F43A1&quot;/&gt;&lt;wsp:rsid wsp:val=&quot;004F64DB&quot;/&gt;&lt;wsp:rsid wsp:val=&quot;00501286&quot;/&gt;&lt;wsp:rsid wsp:val=&quot;00501499&quot;/&gt;&lt;wsp:rsid wsp:val=&quot;005039CB&quot;/&gt;&lt;wsp:rsid wsp:val=&quot;00503E17&quot;/&gt;&lt;wsp:rsid wsp:val=&quot;00504B24&quot;/&gt;&lt;wsp:rsid wsp:val=&quot;00504BDB&quot;/&gt;&lt;wsp:rsid wsp:val=&quot;0050558F&quot;/&gt;&lt;wsp:rsid wsp:val=&quot;00505D0D&quot;/&gt;&lt;wsp:rsid wsp:val=&quot;00506286&quot;/&gt;&lt;wsp:rsid wsp:val=&quot;00506C5F&quot;/&gt;&lt;wsp:rsid wsp:val=&quot;00510813&quot;/&gt;&lt;wsp:rsid wsp:val=&quot;005109F0&quot;/&gt;&lt;wsp:rsid wsp:val=&quot;00511990&quot;/&gt;&lt;wsp:rsid wsp:val=&quot;00511DE0&quot;/&gt;&lt;wsp:rsid wsp:val=&quot;005128F1&quot;/&gt;&lt;wsp:rsid wsp:val=&quot;00512E24&quot;/&gt;&lt;wsp:rsid wsp:val=&quot;00514870&quot;/&gt;&lt;wsp:rsid wsp:val=&quot;00514B2E&quot;/&gt;&lt;wsp:rsid wsp:val=&quot;00514B9B&quot;/&gt;&lt;wsp:rsid wsp:val=&quot;005163E2&quot;/&gt;&lt;wsp:rsid wsp:val=&quot;00517F02&quot;/&gt;&lt;wsp:rsid wsp:val=&quot;00520B30&quot;/&gt;&lt;wsp:rsid wsp:val=&quot;00521186&quot;/&gt;&lt;wsp:rsid wsp:val=&quot;0052273C&quot;/&gt;&lt;wsp:rsid wsp:val=&quot;00522E16&quot;/&gt;&lt;wsp:rsid wsp:val=&quot;0052386B&quot;/&gt;&lt;wsp:rsid wsp:val=&quot;00524303&quot;/&gt;&lt;wsp:rsid wsp:val=&quot;005258A2&quot;/&gt;&lt;wsp:rsid wsp:val=&quot;00526D9F&quot;/&gt;&lt;wsp:rsid wsp:val=&quot;00533BF9&quot;/&gt;&lt;wsp:rsid wsp:val=&quot;00534765&quot;/&gt;&lt;wsp:rsid wsp:val=&quot;0053561F&quot;/&gt;&lt;wsp:rsid wsp:val=&quot;00535E67&quot;/&gt;&lt;wsp:rsid wsp:val=&quot;00535EB9&quot;/&gt;&lt;wsp:rsid wsp:val=&quot;00537B54&quot;/&gt;&lt;wsp:rsid wsp:val=&quot;005401AE&quot;/&gt;&lt;wsp:rsid wsp:val=&quot;00540AE1&quot;/&gt;&lt;wsp:rsid wsp:val=&quot;00542E07&quot;/&gt;&lt;wsp:rsid wsp:val=&quot;00542EB6&quot;/&gt;&lt;wsp:rsid wsp:val=&quot;00545424&quot;/&gt;&lt;wsp:rsid wsp:val=&quot;00547541&quot;/&gt;&lt;wsp:rsid wsp:val=&quot;00547C63&quot;/&gt;&lt;wsp:rsid wsp:val=&quot;005539FB&quot;/&gt;&lt;wsp:rsid wsp:val=&quot;00554A7B&quot;/&gt;&lt;wsp:rsid wsp:val=&quot;0055572C&quot;/&gt;&lt;wsp:rsid wsp:val=&quot;0055625F&quot;/&gt;&lt;wsp:rsid wsp:val=&quot;005571F8&quot;/&gt;&lt;wsp:rsid wsp:val=&quot;00560B13&quot;/&gt;&lt;wsp:rsid wsp:val=&quot;0056106A&quot;/&gt;&lt;wsp:rsid wsp:val=&quot;0056132B&quot;/&gt;&lt;wsp:rsid wsp:val=&quot;0056178C&quot;/&gt;&lt;wsp:rsid wsp:val=&quot;00561FE0&quot;/&gt;&lt;wsp:rsid wsp:val=&quot;00566416&quot;/&gt;&lt;wsp:rsid wsp:val=&quot;005720AE&quot;/&gt;&lt;wsp:rsid wsp:val=&quot;0058033D&quot;/&gt;&lt;wsp:rsid wsp:val=&quot;00582717&quot;/&gt;&lt;wsp:rsid wsp:val=&quot;00582B4D&quot;/&gt;&lt;wsp:rsid wsp:val=&quot;00585A2F&quot;/&gt;&lt;wsp:rsid wsp:val=&quot;00586F7D&quot;/&gt;&lt;wsp:rsid wsp:val=&quot;005876AD&quot;/&gt;&lt;wsp:rsid wsp:val=&quot;00590731&quot;/&gt;&lt;wsp:rsid wsp:val=&quot;00593129&quot;/&gt;&lt;wsp:rsid wsp:val=&quot;00594D77&quot;/&gt;&lt;wsp:rsid wsp:val=&quot;005969E4&quot;/&gt;&lt;wsp:rsid wsp:val=&quot;005A06B7&quot;/&gt;&lt;wsp:rsid wsp:val=&quot;005A1759&quot;/&gt;&lt;wsp:rsid wsp:val=&quot;005A516D&quot;/&gt;&lt;wsp:rsid wsp:val=&quot;005A68A7&quot;/&gt;&lt;wsp:rsid wsp:val=&quot;005B09C8&quot;/&gt;&lt;wsp:rsid wsp:val=&quot;005B404B&quot;/&gt;&lt;wsp:rsid wsp:val=&quot;005B653D&quot;/&gt;&lt;wsp:rsid wsp:val=&quot;005C1D3A&quot;/&gt;&lt;wsp:rsid wsp:val=&quot;005D36AB&quot;/&gt;&lt;wsp:rsid wsp:val=&quot;005D41D9&quot;/&gt;&lt;wsp:rsid wsp:val=&quot;005D4233&quot;/&gt;&lt;wsp:rsid wsp:val=&quot;005D4CFC&quot;/&gt;&lt;wsp:rsid wsp:val=&quot;005E2FBC&quot;/&gt;&lt;wsp:rsid wsp:val=&quot;005E7E45&quot;/&gt;&lt;wsp:rsid wsp:val=&quot;005F17BF&quot;/&gt;&lt;wsp:rsid wsp:val=&quot;005F187E&quot;/&gt;&lt;wsp:rsid wsp:val=&quot;005F7AB1&quot;/&gt;&lt;wsp:rsid wsp:val=&quot;00604BA3&quot;/&gt;&lt;wsp:rsid wsp:val=&quot;00604BE9&quot;/&gt;&lt;wsp:rsid wsp:val=&quot;00605931&quot;/&gt;&lt;wsp:rsid wsp:val=&quot;00605E30&quot;/&gt;&lt;wsp:rsid wsp:val=&quot;0061158D&quot;/&gt;&lt;wsp:rsid wsp:val=&quot;0061510F&quot;/&gt;&lt;wsp:rsid wsp:val=&quot;00617852&quot;/&gt;&lt;wsp:rsid wsp:val=&quot;00617CC3&quot;/&gt;&lt;wsp:rsid wsp:val=&quot;006210B5&quot;/&gt;&lt;wsp:rsid wsp:val=&quot;006215B1&quot;/&gt;&lt;wsp:rsid wsp:val=&quot;0062531C&quot;/&gt;&lt;wsp:rsid wsp:val=&quot;00625604&quot;/&gt;&lt;wsp:rsid wsp:val=&quot;006260C5&quot;/&gt;&lt;wsp:rsid wsp:val=&quot;006308AF&quot;/&gt;&lt;wsp:rsid wsp:val=&quot;0063177B&quot;/&gt;&lt;wsp:rsid wsp:val=&quot;00635152&quot;/&gt;&lt;wsp:rsid wsp:val=&quot;0063702B&quot;/&gt;&lt;wsp:rsid wsp:val=&quot;006377A6&quot;/&gt;&lt;wsp:rsid wsp:val=&quot;00637A3D&quot;/&gt;&lt;wsp:rsid wsp:val=&quot;006411EF&quot;/&gt;&lt;wsp:rsid wsp:val=&quot;00642D23&quot;/&gt;&lt;wsp:rsid wsp:val=&quot;00643A56&quot;/&gt;&lt;wsp:rsid wsp:val=&quot;00650211&quot;/&gt;&lt;wsp:rsid wsp:val=&quot;0065038C&quot;/&gt;&lt;wsp:rsid wsp:val=&quot;00652855&quot;/&gt;&lt;wsp:rsid wsp:val=&quot;00654ED9&quot;/&gt;&lt;wsp:rsid wsp:val=&quot;00660540&quot;/&gt;&lt;wsp:rsid wsp:val=&quot;00666822&quot;/&gt;&lt;wsp:rsid wsp:val=&quot;006723F4&quot;/&gt;&lt;wsp:rsid wsp:val=&quot;00672F71&quot;/&gt;&lt;wsp:rsid wsp:val=&quot;006748B8&quot;/&gt;&lt;wsp:rsid wsp:val=&quot;006775C3&quot;/&gt;&lt;wsp:rsid wsp:val=&quot;00681A25&quot;/&gt;&lt;wsp:rsid wsp:val=&quot;00682AAF&quot;/&gt;&lt;wsp:rsid wsp:val=&quot;00684E69&quot;/&gt;&lt;wsp:rsid wsp:val=&quot;006862EC&quot;/&gt;&lt;wsp:rsid wsp:val=&quot;00690468&quot;/&gt;&lt;wsp:rsid wsp:val=&quot;0069065A&quot;/&gt;&lt;wsp:rsid wsp:val=&quot;006906C7&quot;/&gt;&lt;wsp:rsid wsp:val=&quot;00691D3D&quot;/&gt;&lt;wsp:rsid wsp:val=&quot;00691D91&quot;/&gt;&lt;wsp:rsid wsp:val=&quot;0069290A&quot;/&gt;&lt;wsp:rsid wsp:val=&quot;00692DE4&quot;/&gt;&lt;wsp:rsid wsp:val=&quot;006930A4&quot;/&gt;&lt;wsp:rsid wsp:val=&quot;00695B0A&quot;/&gt;&lt;wsp:rsid wsp:val=&quot;00696D06&quot;/&gt;&lt;wsp:rsid wsp:val=&quot;00696E47&quot;/&gt;&lt;wsp:rsid wsp:val=&quot;0069775A&quot;/&gt;&lt;wsp:rsid wsp:val=&quot;00697813&quot;/&gt;&lt;wsp:rsid wsp:val=&quot;00697B12&quot;/&gt;&lt;wsp:rsid wsp:val=&quot;006A225C&quot;/&gt;&lt;wsp:rsid wsp:val=&quot;006A3EE8&quot;/&gt;&lt;wsp:rsid wsp:val=&quot;006A488B&quot;/&gt;&lt;wsp:rsid wsp:val=&quot;006A5115&quot;/&gt;&lt;wsp:rsid wsp:val=&quot;006A7209&quot;/&gt;&lt;wsp:rsid wsp:val=&quot;006A72BF&quot;/&gt;&lt;wsp:rsid wsp:val=&quot;006B03F2&quot;/&gt;&lt;wsp:rsid wsp:val=&quot;006B1434&quot;/&gt;&lt;wsp:rsid wsp:val=&quot;006B37DC&quot;/&gt;&lt;wsp:rsid wsp:val=&quot;006B3B32&quot;/&gt;&lt;wsp:rsid wsp:val=&quot;006B4F68&quot;/&gt;&lt;wsp:rsid wsp:val=&quot;006C0592&quot;/&gt;&lt;wsp:rsid wsp:val=&quot;006C272E&quot;/&gt;&lt;wsp:rsid wsp:val=&quot;006C2A2E&quot;/&gt;&lt;wsp:rsid wsp:val=&quot;006C2EC0&quot;/&gt;&lt;wsp:rsid wsp:val=&quot;006C480B&quot;/&gt;&lt;wsp:rsid wsp:val=&quot;006C5479&quot;/&gt;&lt;wsp:rsid wsp:val=&quot;006C577B&quot;/&gt;&lt;wsp:rsid wsp:val=&quot;006D13B5&quot;/&gt;&lt;wsp:rsid wsp:val=&quot;006D3EC8&quot;/&gt;&lt;wsp:rsid wsp:val=&quot;006D4F07&quot;/&gt;&lt;wsp:rsid wsp:val=&quot;006D6440&quot;/&gt;&lt;wsp:rsid wsp:val=&quot;006D6F3B&quot;/&gt;&lt;wsp:rsid wsp:val=&quot;006D7D37&quot;/&gt;&lt;wsp:rsid wsp:val=&quot;006E12FF&quot;/&gt;&lt;wsp:rsid wsp:val=&quot;006E47C5&quot;/&gt;&lt;wsp:rsid wsp:val=&quot;006E4978&quot;/&gt;&lt;wsp:rsid wsp:val=&quot;006E607E&quot;/&gt;&lt;wsp:rsid wsp:val=&quot;006E6703&quot;/&gt;&lt;wsp:rsid wsp:val=&quot;006E6AE5&quot;/&gt;&lt;wsp:rsid wsp:val=&quot;006F0CE9&quot;/&gt;&lt;wsp:rsid wsp:val=&quot;006F11B1&quot;/&gt;&lt;wsp:rsid wsp:val=&quot;006F36A6&quot;/&gt;&lt;wsp:rsid wsp:val=&quot;006F5D4C&quot;/&gt;&lt;wsp:rsid wsp:val=&quot;006F6BC4&quot;/&gt;&lt;wsp:rsid wsp:val=&quot;00703BA4&quot;/&gt;&lt;wsp:rsid wsp:val=&quot;00706C5D&quot;/&gt;&lt;wsp:rsid wsp:val=&quot;007077D0&quot;/&gt;&lt;wsp:rsid wsp:val=&quot;007106E4&quot;/&gt;&lt;wsp:rsid wsp:val=&quot;00711134&quot;/&gt;&lt;wsp:rsid wsp:val=&quot;00712C20&quot;/&gt;&lt;wsp:rsid wsp:val=&quot;00712E92&quot;/&gt;&lt;wsp:rsid wsp:val=&quot;00716273&quot;/&gt;&lt;wsp:rsid wsp:val=&quot;00721537&quot;/&gt;&lt;wsp:rsid wsp:val=&quot;00721777&quot;/&gt;&lt;wsp:rsid wsp:val=&quot;007236A8&quot;/&gt;&lt;wsp:rsid wsp:val=&quot;00727E77&quot;/&gt;&lt;wsp:rsid wsp:val=&quot;0073010E&quot;/&gt;&lt;wsp:rsid wsp:val=&quot;00730842&quot;/&gt;&lt;wsp:rsid wsp:val=&quot;00732922&quot;/&gt;&lt;wsp:rsid wsp:val=&quot;0073339F&quot;/&gt;&lt;wsp:rsid wsp:val=&quot;007351A9&quot;/&gt;&lt;wsp:rsid wsp:val=&quot;00735203&quot;/&gt;&lt;wsp:rsid wsp:val=&quot;00740E02&quot;/&gt;&lt;wsp:rsid wsp:val=&quot;0074145C&quot;/&gt;&lt;wsp:rsid wsp:val=&quot;007425BF&quot;/&gt;&lt;wsp:rsid wsp:val=&quot;007439C5&quot;/&gt;&lt;wsp:rsid wsp:val=&quot;0075078B&quot;/&gt;&lt;wsp:rsid wsp:val=&quot;0075162E&quot;/&gt;&lt;wsp:rsid wsp:val=&quot;00754034&quot;/&gt;&lt;wsp:rsid wsp:val=&quot;00756556&quot;/&gt;&lt;wsp:rsid wsp:val=&quot;007618C4&quot;/&gt;&lt;wsp:rsid wsp:val=&quot;00764829&quot;/&gt;&lt;wsp:rsid wsp:val=&quot;007669EC&quot;/&gt;&lt;wsp:rsid wsp:val=&quot;007677FB&quot;/&gt;&lt;wsp:rsid wsp:val=&quot;00767980&quot;/&gt;&lt;wsp:rsid wsp:val=&quot;00770B19&quot;/&gt;&lt;wsp:rsid wsp:val=&quot;007717A5&quot;/&gt;&lt;wsp:rsid wsp:val=&quot;0077463F&quot;/&gt;&lt;wsp:rsid wsp:val=&quot;00776115&quot;/&gt;&lt;wsp:rsid wsp:val=&quot;00777406&quot;/&gt;&lt;wsp:rsid wsp:val=&quot;00780425&quot;/&gt;&lt;wsp:rsid wsp:val=&quot;00781145&quot;/&gt;&lt;wsp:rsid wsp:val=&quot;00781315&quot;/&gt;&lt;wsp:rsid wsp:val=&quot;007836EA&quot;/&gt;&lt;wsp:rsid wsp:val=&quot;00783A7E&quot;/&gt;&lt;wsp:rsid wsp:val=&quot;00783C05&quot;/&gt;&lt;wsp:rsid wsp:val=&quot;00784CDA&quot;/&gt;&lt;wsp:rsid wsp:val=&quot;007906C4&quot;/&gt;&lt;wsp:rsid wsp:val=&quot;00791CDF&quot;/&gt;&lt;wsp:rsid wsp:val=&quot;00792E34&quot;/&gt;&lt;wsp:rsid wsp:val=&quot;007940EA&quot;/&gt;&lt;wsp:rsid wsp:val=&quot;007967E8&quot;/&gt;&lt;wsp:rsid wsp:val=&quot;00797198&quot;/&gt;&lt;wsp:rsid wsp:val=&quot;007A2170&quot;/&gt;&lt;wsp:rsid wsp:val=&quot;007A22BF&quot;/&gt;&lt;wsp:rsid wsp:val=&quot;007A3323&quot;/&gt;&lt;wsp:rsid wsp:val=&quot;007A3870&quot;/&gt;&lt;wsp:rsid wsp:val=&quot;007A4232&quot;/&gt;&lt;wsp:rsid wsp:val=&quot;007A4B73&quot;/&gt;&lt;wsp:rsid wsp:val=&quot;007A610E&quot;/&gt;&lt;wsp:rsid wsp:val=&quot;007A6900&quot;/&gt;&lt;wsp:rsid wsp:val=&quot;007B2EBE&quot;/&gt;&lt;wsp:rsid wsp:val=&quot;007B34C2&quot;/&gt;&lt;wsp:rsid wsp:val=&quot;007B6B5F&quot;/&gt;&lt;wsp:rsid wsp:val=&quot;007B72B8&quot;/&gt;&lt;wsp:rsid wsp:val=&quot;007B7A58&quot;/&gt;&lt;wsp:rsid wsp:val=&quot;007C21B5&quot;/&gt;&lt;wsp:rsid wsp:val=&quot;007C225B&quot;/&gt;&lt;wsp:rsid wsp:val=&quot;007C324E&quot;/&gt;&lt;wsp:rsid wsp:val=&quot;007C39E3&quot;/&gt;&lt;wsp:rsid wsp:val=&quot;007C3BB5&quot;/&gt;&lt;wsp:rsid wsp:val=&quot;007C5FF8&quot;/&gt;&lt;wsp:rsid wsp:val=&quot;007D03DB&quot;/&gt;&lt;wsp:rsid wsp:val=&quot;007D129E&quot;/&gt;&lt;wsp:rsid wsp:val=&quot;007D158A&quot;/&gt;&lt;wsp:rsid wsp:val=&quot;007D323B&quot;/&gt;&lt;wsp:rsid wsp:val=&quot;007E1981&quot;/&gt;&lt;wsp:rsid wsp:val=&quot;007E2C55&quot;/&gt;&lt;wsp:rsid wsp:val=&quot;007E3D3C&quot;/&gt;&lt;wsp:rsid wsp:val=&quot;007E4BD2&quot;/&gt;&lt;wsp:rsid wsp:val=&quot;007F24F1&quot;/&gt;&lt;wsp:rsid wsp:val=&quot;007F6D1E&quot;/&gt;&lt;wsp:rsid wsp:val=&quot;008004D4&quot;/&gt;&lt;wsp:rsid wsp:val=&quot;00801393&quot;/&gt;&lt;wsp:rsid wsp:val=&quot;008017E0&quot;/&gt;&lt;wsp:rsid wsp:val=&quot;00802F88&quot;/&gt;&lt;wsp:rsid wsp:val=&quot;00803DE8&quot;/&gt;&lt;wsp:rsid wsp:val=&quot;00810A97&quot;/&gt;&lt;wsp:rsid wsp:val=&quot;008119C1&quot;/&gt;&lt;wsp:rsid wsp:val=&quot;0081293E&quot;/&gt;&lt;wsp:rsid wsp:val=&quot;00813677&quot;/&gt;&lt;wsp:rsid wsp:val=&quot;00815465&quot;/&gt;&lt;wsp:rsid wsp:val=&quot;008154DD&quot;/&gt;&lt;wsp:rsid wsp:val=&quot;008160BB&quot;/&gt;&lt;wsp:rsid wsp:val=&quot;00816B52&quot;/&gt;&lt;wsp:rsid wsp:val=&quot;00817E9A&quot;/&gt;&lt;wsp:rsid wsp:val=&quot;00826F12&quot;/&gt;&lt;wsp:rsid wsp:val=&quot;008277BE&quot;/&gt;&lt;wsp:rsid wsp:val=&quot;00827BE9&quot;/&gt;&lt;wsp:rsid wsp:val=&quot;008306BD&quot;/&gt;&lt;wsp:rsid wsp:val=&quot;008307A7&quot;/&gt;&lt;wsp:rsid wsp:val=&quot;00831A80&quot;/&gt;&lt;wsp:rsid wsp:val=&quot;00833743&quot;/&gt;&lt;wsp:rsid wsp:val=&quot;00833D6F&quot;/&gt;&lt;wsp:rsid wsp:val=&quot;008340A4&quot;/&gt;&lt;wsp:rsid wsp:val=&quot;00836BAD&quot;/&gt;&lt;wsp:rsid wsp:val=&quot;008370C9&quot;/&gt;&lt;wsp:rsid wsp:val=&quot;00840057&quot;/&gt;&lt;wsp:rsid wsp:val=&quot;0084306D&quot;/&gt;&lt;wsp:rsid wsp:val=&quot;00846E71&quot;/&gt;&lt;wsp:rsid wsp:val=&quot;00847BB7&quot;/&gt;&lt;wsp:rsid wsp:val=&quot;00847C35&quot;/&gt;&lt;wsp:rsid wsp:val=&quot;008505BF&quot;/&gt;&lt;wsp:rsid wsp:val=&quot;00852032&quot;/&gt;&lt;wsp:rsid wsp:val=&quot;0085441C&quot;/&gt;&lt;wsp:rsid wsp:val=&quot;008569BD&quot;/&gt;&lt;wsp:rsid wsp:val=&quot;008572F7&quot;/&gt;&lt;wsp:rsid wsp:val=&quot;008651C7&quot;/&gt;&lt;wsp:rsid wsp:val=&quot;008654B5&quot;/&gt;&lt;wsp:rsid wsp:val=&quot;008654C9&quot;/&gt;&lt;wsp:rsid wsp:val=&quot;0086773D&quot;/&gt;&lt;wsp:rsid wsp:val=&quot;0087135F&quot;/&gt;&lt;wsp:rsid wsp:val=&quot;00872D94&quot;/&gt;&lt;wsp:rsid wsp:val=&quot;00875057&quot;/&gt;&lt;wsp:rsid wsp:val=&quot;00880364&quot;/&gt;&lt;wsp:rsid wsp:val=&quot;00880BA7&quot;/&gt;&lt;wsp:rsid wsp:val=&quot;00884593&quot;/&gt;&lt;wsp:rsid wsp:val=&quot;00885709&quot;/&gt;&lt;wsp:rsid wsp:val=&quot;00891592&quot;/&gt;&lt;wsp:rsid wsp:val=&quot;00891E9E&quot;/&gt;&lt;wsp:rsid wsp:val=&quot;0089552C&quot;/&gt;&lt;wsp:rsid wsp:val=&quot;0089732A&quot;/&gt;&lt;wsp:rsid wsp:val=&quot;00897931&quot;/&gt;&lt;wsp:rsid wsp:val=&quot;008A1C21&quot;/&gt;&lt;wsp:rsid wsp:val=&quot;008A2EA5&quot;/&gt;&lt;wsp:rsid wsp:val=&quot;008A2F68&quot;/&gt;&lt;wsp:rsid wsp:val=&quot;008A583D&quot;/&gt;&lt;wsp:rsid wsp:val=&quot;008A5D78&quot;/&gt;&lt;wsp:rsid wsp:val=&quot;008B0D05&quot;/&gt;&lt;wsp:rsid wsp:val=&quot;008B333E&quot;/&gt;&lt;wsp:rsid wsp:val=&quot;008B4FA6&quot;/&gt;&lt;wsp:rsid wsp:val=&quot;008B5282&quot;/&gt;&lt;wsp:rsid wsp:val=&quot;008B7C17&quot;/&gt;&lt;wsp:rsid wsp:val=&quot;008C2B41&quot;/&gt;&lt;wsp:rsid wsp:val=&quot;008C2D01&quot;/&gt;&lt;wsp:rsid wsp:val=&quot;008C40E6&quot;/&gt;&lt;wsp:rsid wsp:val=&quot;008C6B38&quot;/&gt;&lt;wsp:rsid wsp:val=&quot;008D033B&quot;/&gt;&lt;wsp:rsid wsp:val=&quot;008D0F7A&quot;/&gt;&lt;wsp:rsid wsp:val=&quot;008D1F4C&quot;/&gt;&lt;wsp:rsid wsp:val=&quot;008D3162&quot;/&gt;&lt;wsp:rsid wsp:val=&quot;008D3DB4&quot;/&gt;&lt;wsp:rsid wsp:val=&quot;008D516A&quot;/&gt;&lt;wsp:rsid wsp:val=&quot;008D68E4&quot;/&gt;&lt;wsp:rsid wsp:val=&quot;008D794C&quot;/&gt;&lt;wsp:rsid wsp:val=&quot;008E0506&quot;/&gt;&lt;wsp:rsid wsp:val=&quot;008E0CFF&quot;/&gt;&lt;wsp:rsid wsp:val=&quot;008E3194&quot;/&gt;&lt;wsp:rsid wsp:val=&quot;008E5D6B&quot;/&gt;&lt;wsp:rsid wsp:val=&quot;008E756D&quot;/&gt;&lt;wsp:rsid wsp:val=&quot;008E76F0&quot;/&gt;&lt;wsp:rsid wsp:val=&quot;008E776F&quot;/&gt;&lt;wsp:rsid wsp:val=&quot;008F0691&quot;/&gt;&lt;wsp:rsid wsp:val=&quot;008F099C&quot;/&gt;&lt;wsp:rsid wsp:val=&quot;008F12CD&quot;/&gt;&lt;wsp:rsid wsp:val=&quot;008F15FE&quot;/&gt;&lt;wsp:rsid wsp:val=&quot;008F2D29&quot;/&gt;&lt;wsp:rsid wsp:val=&quot;008F3BDC&quot;/&gt;&lt;wsp:rsid wsp:val=&quot;008F5187&quot;/&gt;&lt;wsp:rsid wsp:val=&quot;008F60D8&quot;/&gt;&lt;wsp:rsid wsp:val=&quot;008F7814&quot;/&gt;&lt;wsp:rsid wsp:val=&quot;00902727&quot;/&gt;&lt;wsp:rsid wsp:val=&quot;0090312B&quot;/&gt;&lt;wsp:rsid wsp:val=&quot;009050AC&quot;/&gt;&lt;wsp:rsid wsp:val=&quot;00911425&quot;/&gt;&lt;wsp:rsid wsp:val=&quot;00911AD5&quot;/&gt;&lt;wsp:rsid wsp:val=&quot;00914E34&quot;/&gt;&lt;wsp:rsid wsp:val=&quot;00915E74&quot;/&gt;&lt;wsp:rsid wsp:val=&quot;0091736D&quot;/&gt;&lt;wsp:rsid wsp:val=&quot;00923524&quot;/&gt;&lt;wsp:rsid wsp:val=&quot;00925757&quot;/&gt;&lt;wsp:rsid wsp:val=&quot;00925D95&quot;/&gt;&lt;wsp:rsid wsp:val=&quot;009265F4&quot;/&gt;&lt;wsp:rsid wsp:val=&quot;009269B7&quot;/&gt;&lt;wsp:rsid wsp:val=&quot;0093037A&quot;/&gt;&lt;wsp:rsid wsp:val=&quot;00931A0E&quot;/&gt;&lt;wsp:rsid wsp:val=&quot;00934676&quot;/&gt;&lt;wsp:rsid wsp:val=&quot;0094154D&quot;/&gt;&lt;wsp:rsid wsp:val=&quot;00943FF7&quot;/&gt;&lt;wsp:rsid wsp:val=&quot;009443EA&quot;/&gt;&lt;wsp:rsid wsp:val=&quot;0095155F&quot;/&gt;&lt;wsp:rsid wsp:val=&quot;00951CB2&quot;/&gt;&lt;wsp:rsid wsp:val=&quot;00953A2D&quot;/&gt;&lt;wsp:rsid wsp:val=&quot;00954429&quot;/&gt;&lt;wsp:rsid wsp:val=&quot;00955B65&quot;/&gt;&lt;wsp:rsid wsp:val=&quot;009563CE&quot;/&gt;&lt;wsp:rsid wsp:val=&quot;00963DC1&quot;/&gt;&lt;wsp:rsid wsp:val=&quot;00964285&quot;/&gt;&lt;wsp:rsid wsp:val=&quot;009668F7&quot;/&gt;&lt;wsp:rsid wsp:val=&quot;00966A6A&quot;/&gt;&lt;wsp:rsid wsp:val=&quot;00970C62&quot;/&gt;&lt;wsp:rsid wsp:val=&quot;009728C5&quot;/&gt;&lt;wsp:rsid wsp:val=&quot;00972AC9&quot;/&gt;&lt;wsp:rsid wsp:val=&quot;00973AFF&quot;/&gt;&lt;wsp:rsid wsp:val=&quot;00974974&quot;/&gt;&lt;wsp:rsid wsp:val=&quot;00975832&quot;/&gt;&lt;wsp:rsid wsp:val=&quot;00976328&quot;/&gt;&lt;wsp:rsid wsp:val=&quot;0097680D&quot;/&gt;&lt;wsp:rsid wsp:val=&quot;00976BDB&quot;/&gt;&lt;wsp:rsid wsp:val=&quot;00982438&quot;/&gt;&lt;wsp:rsid wsp:val=&quot;009827AF&quot;/&gt;&lt;wsp:rsid wsp:val=&quot;0098340D&quot;/&gt;&lt;wsp:rsid wsp:val=&quot;00983BF0&quot;/&gt;&lt;wsp:rsid wsp:val=&quot;0098404C&quot;/&gt;&lt;wsp:rsid wsp:val=&quot;00985283&quot;/&gt;&lt;wsp:rsid wsp:val=&quot;0098782A&quot;/&gt;&lt;wsp:rsid wsp:val=&quot;00992059&quot;/&gt;&lt;wsp:rsid wsp:val=&quot;009940AA&quot;/&gt;&lt;wsp:rsid wsp:val=&quot;0099475C&quot;/&gt;&lt;wsp:rsid wsp:val=&quot;00995992&quot;/&gt;&lt;wsp:rsid wsp:val=&quot;009A03E5&quot;/&gt;&lt;wsp:rsid wsp:val=&quot;009A0F3B&quot;/&gt;&lt;wsp:rsid wsp:val=&quot;009A1804&quot;/&gt;&lt;wsp:rsid wsp:val=&quot;009A1BB4&quot;/&gt;&lt;wsp:rsid wsp:val=&quot;009A2628&quot;/&gt;&lt;wsp:rsid wsp:val=&quot;009A2908&quot;/&gt;&lt;wsp:rsid wsp:val=&quot;009A3200&quot;/&gt;&lt;wsp:rsid wsp:val=&quot;009A4DB6&quot;/&gt;&lt;wsp:rsid wsp:val=&quot;009A594A&quot;/&gt;&lt;wsp:rsid wsp:val=&quot;009A5AF1&quot;/&gt;&lt;wsp:rsid wsp:val=&quot;009A609F&quot;/&gt;&lt;wsp:rsid wsp:val=&quot;009A6647&quot;/&gt;&lt;wsp:rsid wsp:val=&quot;009A7203&quot;/&gt;&lt;wsp:rsid wsp:val=&quot;009B00E9&quot;/&gt;&lt;wsp:rsid wsp:val=&quot;009B0897&quot;/&gt;&lt;wsp:rsid wsp:val=&quot;009B5E67&quot;/&gt;&lt;wsp:rsid wsp:val=&quot;009B74C5&quot;/&gt;&lt;wsp:rsid wsp:val=&quot;009B7BD9&quot;/&gt;&lt;wsp:rsid wsp:val=&quot;009B7CD6&quot;/&gt;&lt;wsp:rsid wsp:val=&quot;009C20B1&quot;/&gt;&lt;wsp:rsid wsp:val=&quot;009C4110&quot;/&gt;&lt;wsp:rsid wsp:val=&quot;009C7DD5&quot;/&gt;&lt;wsp:rsid wsp:val=&quot;009D321A&quot;/&gt;&lt;wsp:rsid wsp:val=&quot;009D4397&quot;/&gt;&lt;wsp:rsid wsp:val=&quot;009D748A&quot;/&gt;&lt;wsp:rsid wsp:val=&quot;009E1CC2&quot;/&gt;&lt;wsp:rsid wsp:val=&quot;009E227D&quot;/&gt;&lt;wsp:rsid wsp:val=&quot;009E5019&quot;/&gt;&lt;wsp:rsid wsp:val=&quot;009E6399&quot;/&gt;&lt;wsp:rsid wsp:val=&quot;009F07AC&quot;/&gt;&lt;wsp:rsid wsp:val=&quot;009F0C30&quot;/&gt;&lt;wsp:rsid wsp:val=&quot;009F0D31&quot;/&gt;&lt;wsp:rsid wsp:val=&quot;009F6097&quot;/&gt;&lt;wsp:rsid wsp:val=&quot;009F68BD&quot;/&gt;&lt;wsp:rsid wsp:val=&quot;009F75E6&quot;/&gt;&lt;wsp:rsid wsp:val=&quot;00A03CDD&quot;/&gt;&lt;wsp:rsid wsp:val=&quot;00A04F1B&quot;/&gt;&lt;wsp:rsid wsp:val=&quot;00A0501B&quot;/&gt;&lt;wsp:rsid wsp:val=&quot;00A0528F&quot;/&gt;&lt;wsp:rsid wsp:val=&quot;00A11CE6&quot;/&gt;&lt;wsp:rsid wsp:val=&quot;00A14947&quot;/&gt;&lt;wsp:rsid wsp:val=&quot;00A152D6&quot;/&gt;&lt;wsp:rsid wsp:val=&quot;00A24731&quot;/&gt;&lt;wsp:rsid wsp:val=&quot;00A25AB7&quot;/&gt;&lt;wsp:rsid wsp:val=&quot;00A25C91&quot;/&gt;&lt;wsp:rsid wsp:val=&quot;00A25CD0&quot;/&gt;&lt;wsp:rsid wsp:val=&quot;00A2642C&quot;/&gt;&lt;wsp:rsid wsp:val=&quot;00A32A83&quot;/&gt;&lt;wsp:rsid wsp:val=&quot;00A363AE&quot;/&gt;&lt;wsp:rsid wsp:val=&quot;00A368DB&quot;/&gt;&lt;wsp:rsid wsp:val=&quot;00A40381&quot;/&gt;&lt;wsp:rsid wsp:val=&quot;00A423AA&quot;/&gt;&lt;wsp:rsid wsp:val=&quot;00A432A4&quot;/&gt;&lt;wsp:rsid wsp:val=&quot;00A4458A&quot;/&gt;&lt;wsp:rsid wsp:val=&quot;00A466FB&quot;/&gt;&lt;wsp:rsid wsp:val=&quot;00A47569&quot;/&gt;&lt;wsp:rsid wsp:val=&quot;00A477C1&quot;/&gt;&lt;wsp:rsid wsp:val=&quot;00A534EE&quot;/&gt;&lt;wsp:rsid wsp:val=&quot;00A53EC6&quot;/&gt;&lt;wsp:rsid wsp:val=&quot;00A55C0F&quot;/&gt;&lt;wsp:rsid wsp:val=&quot;00A60045&quot;/&gt;&lt;wsp:rsid wsp:val=&quot;00A60768&quot;/&gt;&lt;wsp:rsid wsp:val=&quot;00A60D83&quot;/&gt;&lt;wsp:rsid wsp:val=&quot;00A62E4A&quot;/&gt;&lt;wsp:rsid wsp:val=&quot;00A64059&quot;/&gt;&lt;wsp:rsid wsp:val=&quot;00A647E2&quot;/&gt;&lt;wsp:rsid wsp:val=&quot;00A660E7&quot;/&gt;&lt;wsp:rsid wsp:val=&quot;00A6622A&quot;/&gt;&lt;wsp:rsid wsp:val=&quot;00A752FD&quot;/&gt;&lt;wsp:rsid wsp:val=&quot;00A766C9&quot;/&gt;&lt;wsp:rsid wsp:val=&quot;00A826CD&quot;/&gt;&lt;wsp:rsid wsp:val=&quot;00A831D6&quot;/&gt;&lt;wsp:rsid wsp:val=&quot;00A8713F&quot;/&gt;&lt;wsp:rsid wsp:val=&quot;00A87F5D&quot;/&gt;&lt;wsp:rsid wsp:val=&quot;00A90BA1&quot;/&gt;&lt;wsp:rsid wsp:val=&quot;00A91BC8&quot;/&gt;&lt;wsp:rsid wsp:val=&quot;00A97A91&quot;/&gt;&lt;wsp:rsid wsp:val=&quot;00A97A9A&quot;/&gt;&lt;wsp:rsid wsp:val=&quot;00AA0671&quot;/&gt;&lt;wsp:rsid wsp:val=&quot;00AA2531&quot;/&gt;&lt;wsp:rsid wsp:val=&quot;00AA2DBD&quot;/&gt;&lt;wsp:rsid wsp:val=&quot;00AA56CD&quot;/&gt;&lt;wsp:rsid wsp:val=&quot;00AB03AD&quot;/&gt;&lt;wsp:rsid wsp:val=&quot;00AB1E09&quot;/&gt;&lt;wsp:rsid wsp:val=&quot;00AB34CA&quot;/&gt;&lt;wsp:rsid wsp:val=&quot;00AB40C3&quot;/&gt;&lt;wsp:rsid wsp:val=&quot;00AB4E1B&quot;/&gt;&lt;wsp:rsid wsp:val=&quot;00AB5330&quot;/&gt;&lt;wsp:rsid wsp:val=&quot;00AB5EC2&quot;/&gt;&lt;wsp:rsid wsp:val=&quot;00AB7271&quot;/&gt;&lt;wsp:rsid wsp:val=&quot;00AB7747&quot;/&gt;&lt;wsp:rsid wsp:val=&quot;00AB7B2E&quot;/&gt;&lt;wsp:rsid wsp:val=&quot;00AC074D&quot;/&gt;&lt;wsp:rsid wsp:val=&quot;00AC14CE&quot;/&gt;&lt;wsp:rsid wsp:val=&quot;00AC2A56&quot;/&gt;&lt;wsp:rsid wsp:val=&quot;00AC4C88&quot;/&gt;&lt;wsp:rsid wsp:val=&quot;00AC6211&quot;/&gt;&lt;wsp:rsid wsp:val=&quot;00AC649F&quot;/&gt;&lt;wsp:rsid wsp:val=&quot;00AD055E&quot;/&gt;&lt;wsp:rsid wsp:val=&quot;00AD3E63&quot;/&gt;&lt;wsp:rsid wsp:val=&quot;00AD47A7&quot;/&gt;&lt;wsp:rsid wsp:val=&quot;00AE7120&quot;/&gt;&lt;wsp:rsid wsp:val=&quot;00AF0CBF&quot;/&gt;&lt;wsp:rsid wsp:val=&quot;00AF1C65&quot;/&gt;&lt;wsp:rsid wsp:val=&quot;00AF1F76&quot;/&gt;&lt;wsp:rsid wsp:val=&quot;00AF257F&quot;/&gt;&lt;wsp:rsid wsp:val=&quot;00AF33CF&quot;/&gt;&lt;wsp:rsid wsp:val=&quot;00AF4D50&quot;/&gt;&lt;wsp:rsid wsp:val=&quot;00AF6179&quot;/&gt;&lt;wsp:rsid wsp:val=&quot;00AF682D&quot;/&gt;&lt;wsp:rsid wsp:val=&quot;00AF77E4&quot;/&gt;&lt;wsp:rsid wsp:val=&quot;00B02D3D&quot;/&gt;&lt;wsp:rsid wsp:val=&quot;00B1295A&quot;/&gt;&lt;wsp:rsid wsp:val=&quot;00B14EE8&quot;/&gt;&lt;wsp:rsid wsp:val=&quot;00B20A45&quot;/&gt;&lt;wsp:rsid wsp:val=&quot;00B21CCB&quot;/&gt;&lt;wsp:rsid wsp:val=&quot;00B22C5C&quot;/&gt;&lt;wsp:rsid wsp:val=&quot;00B23BC0&quot;/&gt;&lt;wsp:rsid wsp:val=&quot;00B24F30&quot;/&gt;&lt;wsp:rsid wsp:val=&quot;00B26845&quot;/&gt;&lt;wsp:rsid wsp:val=&quot;00B3078E&quot;/&gt;&lt;wsp:rsid wsp:val=&quot;00B31469&quot;/&gt;&lt;wsp:rsid wsp:val=&quot;00B31ABF&quot;/&gt;&lt;wsp:rsid wsp:val=&quot;00B32F43&quot;/&gt;&lt;wsp:rsid wsp:val=&quot;00B33BE3&quot;/&gt;&lt;wsp:rsid wsp:val=&quot;00B3792A&quot;/&gt;&lt;wsp:rsid wsp:val=&quot;00B415E2&quot;/&gt;&lt;wsp:rsid wsp:val=&quot;00B50CE7&quot;/&gt;&lt;wsp:rsid wsp:val=&quot;00B5135B&quot;/&gt;&lt;wsp:rsid wsp:val=&quot;00B5393E&quot;/&gt;&lt;wsp:rsid wsp:val=&quot;00B539FB&quot;/&gt;&lt;wsp:rsid wsp:val=&quot;00B53B5D&quot;/&gt;&lt;wsp:rsid wsp:val=&quot;00B5479C&quot;/&gt;&lt;wsp:rsid wsp:val=&quot;00B554B6&quot;/&gt;&lt;wsp:rsid wsp:val=&quot;00B55965&quot;/&gt;&lt;wsp:rsid wsp:val=&quot;00B5683F&quot;/&gt;&lt;wsp:rsid wsp:val=&quot;00B56BAE&quot;/&gt;&lt;wsp:rsid wsp:val=&quot;00B6055E&quot;/&gt;&lt;wsp:rsid wsp:val=&quot;00B60F59&quot;/&gt;&lt;wsp:rsid wsp:val=&quot;00B62DAE&quot;/&gt;&lt;wsp:rsid wsp:val=&quot;00B6317D&quot;/&gt;&lt;wsp:rsid wsp:val=&quot;00B6388A&quot;/&gt;&lt;wsp:rsid wsp:val=&quot;00B64649&quot;/&gt;&lt;wsp:rsid wsp:val=&quot;00B66E34&quot;/&gt;&lt;wsp:rsid wsp:val=&quot;00B72138&quot;/&gt;&lt;wsp:rsid wsp:val=&quot;00B72515&quot;/&gt;&lt;wsp:rsid wsp:val=&quot;00B73083&quot;/&gt;&lt;wsp:rsid wsp:val=&quot;00B744A2&quot;/&gt;&lt;wsp:rsid wsp:val=&quot;00B746D7&quot;/&gt;&lt;wsp:rsid wsp:val=&quot;00B76030&quot;/&gt;&lt;wsp:rsid wsp:val=&quot;00B7723F&quot;/&gt;&lt;wsp:rsid wsp:val=&quot;00B77DF0&quot;/&gt;&lt;wsp:rsid wsp:val=&quot;00B77E96&quot;/&gt;&lt;wsp:rsid wsp:val=&quot;00B80534&quot;/&gt;&lt;wsp:rsid wsp:val=&quot;00B807F0&quot;/&gt;&lt;wsp:rsid wsp:val=&quot;00B808FE&quot;/&gt;&lt;wsp:rsid wsp:val=&quot;00B8115D&quot;/&gt;&lt;wsp:rsid wsp:val=&quot;00B821C3&quot;/&gt;&lt;wsp:rsid wsp:val=&quot;00B8433C&quot;/&gt;&lt;wsp:rsid wsp:val=&quot;00B87491&quot;/&gt;&lt;wsp:rsid wsp:val=&quot;00B90167&quot;/&gt;&lt;wsp:rsid wsp:val=&quot;00B941CB&quot;/&gt;&lt;wsp:rsid wsp:val=&quot;00BA29E9&quot;/&gt;&lt;wsp:rsid wsp:val=&quot;00BA5936&quot;/&gt;&lt;wsp:rsid wsp:val=&quot;00BA7142&quot;/&gt;&lt;wsp:rsid wsp:val=&quot;00BB157F&quot;/&gt;&lt;wsp:rsid wsp:val=&quot;00BB237C&quot;/&gt;&lt;wsp:rsid wsp:val=&quot;00BB3FFE&quot;/&gt;&lt;wsp:rsid wsp:val=&quot;00BB41A3&quot;/&gt;&lt;wsp:rsid wsp:val=&quot;00BB4F01&quot;/&gt;&lt;wsp:rsid wsp:val=&quot;00BC157F&quot;/&gt;&lt;wsp:rsid wsp:val=&quot;00BC32DC&quot;/&gt;&lt;wsp:rsid wsp:val=&quot;00BC35B6&quot;/&gt;&lt;wsp:rsid wsp:val=&quot;00BC43A6&quot;/&gt;&lt;wsp:rsid wsp:val=&quot;00BC447F&quot;/&gt;&lt;wsp:rsid wsp:val=&quot;00BC4570&quot;/&gt;&lt;wsp:rsid wsp:val=&quot;00BC4E43&quot;/&gt;&lt;wsp:rsid wsp:val=&quot;00BD03C0&quot;/&gt;&lt;wsp:rsid wsp:val=&quot;00BD0774&quot;/&gt;&lt;wsp:rsid wsp:val=&quot;00BD1B51&quot;/&gt;&lt;wsp:rsid wsp:val=&quot;00BD238E&quot;/&gt;&lt;wsp:rsid wsp:val=&quot;00BD4596&quot;/&gt;&lt;wsp:rsid wsp:val=&quot;00BD4CD6&quot;/&gt;&lt;wsp:rsid wsp:val=&quot;00BE0135&quot;/&gt;&lt;wsp:rsid wsp:val=&quot;00BE0E4E&quot;/&gt;&lt;wsp:rsid wsp:val=&quot;00BE1405&quot;/&gt;&lt;wsp:rsid wsp:val=&quot;00BE312D&quot;/&gt;&lt;wsp:rsid wsp:val=&quot;00BE44D6&quot;/&gt;&lt;wsp:rsid wsp:val=&quot;00BE695A&quot;/&gt;&lt;wsp:rsid wsp:val=&quot;00BF0686&quot;/&gt;&lt;wsp:rsid wsp:val=&quot;00BF1C20&quot;/&gt;&lt;wsp:rsid wsp:val=&quot;00BF5AA4&quot;/&gt;&lt;wsp:rsid wsp:val=&quot;00BF5BBE&quot;/&gt;&lt;wsp:rsid wsp:val=&quot;00BF6534&quot;/&gt;&lt;wsp:rsid wsp:val=&quot;00BF6ACC&quot;/&gt;&lt;wsp:rsid wsp:val=&quot;00BF72F2&quot;/&gt;&lt;wsp:rsid wsp:val=&quot;00C10578&quot;/&gt;&lt;wsp:rsid wsp:val=&quot;00C135BC&quot;/&gt;&lt;wsp:rsid wsp:val=&quot;00C15C95&quot;/&gt;&lt;wsp:rsid wsp:val=&quot;00C21085&quot;/&gt;&lt;wsp:rsid wsp:val=&quot;00C2276E&quot;/&gt;&lt;wsp:rsid wsp:val=&quot;00C23EE6&quot;/&gt;&lt;wsp:rsid wsp:val=&quot;00C2596A&quot;/&gt;&lt;wsp:rsid wsp:val=&quot;00C27537&quot;/&gt;&lt;wsp:rsid wsp:val=&quot;00C328FE&quot;/&gt;&lt;wsp:rsid wsp:val=&quot;00C33507&quot;/&gt;&lt;wsp:rsid wsp:val=&quot;00C34BD9&quot;/&gt;&lt;wsp:rsid wsp:val=&quot;00C3542B&quot;/&gt;&lt;wsp:rsid wsp:val=&quot;00C4185E&quot;/&gt;&lt;wsp:rsid wsp:val=&quot;00C4409D&quot;/&gt;&lt;wsp:rsid wsp:val=&quot;00C44E72&quot;/&gt;&lt;wsp:rsid wsp:val=&quot;00C45A06&quot;/&gt;&lt;wsp:rsid wsp:val=&quot;00C47E5B&quot;/&gt;&lt;wsp:rsid wsp:val=&quot;00C50584&quot;/&gt;&lt;wsp:rsid wsp:val=&quot;00C53B0A&quot;/&gt;&lt;wsp:rsid wsp:val=&quot;00C54AE7&quot;/&gt;&lt;wsp:rsid wsp:val=&quot;00C56E24&quot;/&gt;&lt;wsp:rsid wsp:val=&quot;00C570C1&quot;/&gt;&lt;wsp:rsid wsp:val=&quot;00C61E4B&quot;/&gt;&lt;wsp:rsid wsp:val=&quot;00C62D0F&quot;/&gt;&lt;wsp:rsid wsp:val=&quot;00C64BFF&quot;/&gt;&lt;wsp:rsid wsp:val=&quot;00C66E79&quot;/&gt;&lt;wsp:rsid wsp:val=&quot;00C6706D&quot;/&gt;&lt;wsp:rsid wsp:val=&quot;00C704E9&quot;/&gt;&lt;wsp:rsid wsp:val=&quot;00C75896&quot;/&gt;&lt;wsp:rsid wsp:val=&quot;00C75B5B&quot;/&gt;&lt;wsp:rsid wsp:val=&quot;00C763C9&quot;/&gt;&lt;wsp:rsid wsp:val=&quot;00C764EA&quot;/&gt;&lt;wsp:rsid wsp:val=&quot;00C80057&quot;/&gt;&lt;wsp:rsid wsp:val=&quot;00C82203&quot;/&gt;&lt;wsp:rsid wsp:val=&quot;00C82232&quot;/&gt;&lt;wsp:rsid wsp:val=&quot;00C82913&quot;/&gt;&lt;wsp:rsid wsp:val=&quot;00C8308E&quot;/&gt;&lt;wsp:rsid wsp:val=&quot;00C905B8&quot;/&gt;&lt;wsp:rsid wsp:val=&quot;00C94307&quot;/&gt;&lt;wsp:rsid wsp:val=&quot;00C972B1&quot;/&gt;&lt;wsp:rsid wsp:val=&quot;00CA0F46&quot;/&gt;&lt;wsp:rsid wsp:val=&quot;00CA2CCE&quot;/&gt;&lt;wsp:rsid wsp:val=&quot;00CA43FD&quot;/&gt;&lt;wsp:rsid wsp:val=&quot;00CA4D30&quot;/&gt;&lt;wsp:rsid wsp:val=&quot;00CA5F79&quot;/&gt;&lt;wsp:rsid wsp:val=&quot;00CA7EF8&quot;/&gt;&lt;wsp:rsid wsp:val=&quot;00CB3792&quot;/&gt;&lt;wsp:rsid wsp:val=&quot;00CB7679&quot;/&gt;&lt;wsp:rsid wsp:val=&quot;00CC489B&quot;/&gt;&lt;wsp:rsid wsp:val=&quot;00CD2BCD&quot;/&gt;&lt;wsp:rsid wsp:val=&quot;00CD3A4C&quot;/&gt;&lt;wsp:rsid wsp:val=&quot;00CD55B3&quot;/&gt;&lt;wsp:rsid wsp:val=&quot;00CD7F2A&quot;/&gt;&lt;wsp:rsid wsp:val=&quot;00CE10E9&quot;/&gt;&lt;wsp:rsid wsp:val=&quot;00CE1C37&quot;/&gt;&lt;wsp:rsid wsp:val=&quot;00CE2910&quot;/&gt;&lt;wsp:rsid wsp:val=&quot;00CE3BDC&quot;/&gt;&lt;wsp:rsid wsp:val=&quot;00CE5393&quot;/&gt;&lt;wsp:rsid wsp:val=&quot;00CF36BE&quot;/&gt;&lt;wsp:rsid wsp:val=&quot;00CF4C1C&quot;/&gt;&lt;wsp:rsid wsp:val=&quot;00CF6000&quot;/&gt;&lt;wsp:rsid wsp:val=&quot;00CF77C7&quot;/&gt;&lt;wsp:rsid wsp:val=&quot;00D003F3&quot;/&gt;&lt;wsp:rsid wsp:val=&quot;00D0105E&quot;/&gt;&lt;wsp:rsid wsp:val=&quot;00D030C4&quot;/&gt;&lt;wsp:rsid wsp:val=&quot;00D0364F&quot;/&gt;&lt;wsp:rsid wsp:val=&quot;00D041B3&quot;/&gt;&lt;wsp:rsid wsp:val=&quot;00D06834&quot;/&gt;&lt;wsp:rsid wsp:val=&quot;00D11489&quot;/&gt;&lt;wsp:rsid wsp:val=&quot;00D13021&quot;/&gt;&lt;wsp:rsid wsp:val=&quot;00D14034&quot;/&gt;&lt;wsp:rsid wsp:val=&quot;00D1411C&quot;/&gt;&lt;wsp:rsid wsp:val=&quot;00D149A7&quot;/&gt;&lt;wsp:rsid wsp:val=&quot;00D15D5D&quot;/&gt;&lt;wsp:rsid wsp:val=&quot;00D236DF&quot;/&gt;&lt;wsp:rsid wsp:val=&quot;00D24D74&quot;/&gt;&lt;wsp:rsid wsp:val=&quot;00D308ED&quot;/&gt;&lt;wsp:rsid wsp:val=&quot;00D31D74&quot;/&gt;&lt;wsp:rsid wsp:val=&quot;00D31EFA&quot;/&gt;&lt;wsp:rsid wsp:val=&quot;00D34006&quot;/&gt;&lt;wsp:rsid wsp:val=&quot;00D3623C&quot;/&gt;&lt;wsp:rsid wsp:val=&quot;00D36D86&quot;/&gt;&lt;wsp:rsid wsp:val=&quot;00D4090D&quot;/&gt;&lt;wsp:rsid wsp:val=&quot;00D428AA&quot;/&gt;&lt;wsp:rsid wsp:val=&quot;00D46809&quot;/&gt;&lt;wsp:rsid wsp:val=&quot;00D46E8A&quot;/&gt;&lt;wsp:rsid wsp:val=&quot;00D508CA&quot;/&gt;&lt;wsp:rsid wsp:val=&quot;00D50A34&quot;/&gt;&lt;wsp:rsid wsp:val=&quot;00D53EFA&quot;/&gt;&lt;wsp:rsid wsp:val=&quot;00D56C5C&quot;/&gt;&lt;wsp:rsid wsp:val=&quot;00D6354C&quot;/&gt;&lt;wsp:rsid wsp:val=&quot;00D647F7&quot;/&gt;&lt;wsp:rsid wsp:val=&quot;00D65864&quot;/&gt;&lt;wsp:rsid wsp:val=&quot;00D669C5&quot;/&gt;&lt;wsp:rsid wsp:val=&quot;00D70CC7&quot;/&gt;&lt;wsp:rsid wsp:val=&quot;00D7405F&quot;/&gt;&lt;wsp:rsid wsp:val=&quot;00D760BE&quot;/&gt;&lt;wsp:rsid wsp:val=&quot;00D80141&quot;/&gt;&lt;wsp:rsid wsp:val=&quot;00D858AE&quot;/&gt;&lt;wsp:rsid wsp:val=&quot;00D85B52&quot;/&gt;&lt;wsp:rsid wsp:val=&quot;00D94A7C&quot;/&gt;&lt;wsp:rsid wsp:val=&quot;00D95896&quot;/&gt;&lt;wsp:rsid wsp:val=&quot;00DA2A8A&quot;/&gt;&lt;wsp:rsid wsp:val=&quot;00DA3BD2&quot;/&gt;&lt;wsp:rsid wsp:val=&quot;00DA5131&quot;/&gt;&lt;wsp:rsid wsp:val=&quot;00DB2983&quot;/&gt;&lt;wsp:rsid wsp:val=&quot;00DB31A8&quot;/&gt;&lt;wsp:rsid wsp:val=&quot;00DC0CAC&quot;/&gt;&lt;wsp:rsid wsp:val=&quot;00DC1257&quot;/&gt;&lt;wsp:rsid wsp:val=&quot;00DC3DC0&quot;/&gt;&lt;wsp:rsid wsp:val=&quot;00DC5B2B&quot;/&gt;&lt;wsp:rsid wsp:val=&quot;00DD318D&quot;/&gt;&lt;wsp:rsid wsp:val=&quot;00DD465F&quot;/&gt;&lt;wsp:rsid wsp:val=&quot;00DD7D79&quot;/&gt;&lt;wsp:rsid wsp:val=&quot;00DE2252&quot;/&gt;&lt;wsp:rsid wsp:val=&quot;00DE3532&quot;/&gt;&lt;wsp:rsid wsp:val=&quot;00DE3F18&quot;/&gt;&lt;wsp:rsid wsp:val=&quot;00DE43DF&quot;/&gt;&lt;wsp:rsid wsp:val=&quot;00DE4B28&quot;/&gt;&lt;wsp:rsid wsp:val=&quot;00DE5E85&quot;/&gt;&lt;wsp:rsid wsp:val=&quot;00DE658A&quot;/&gt;&lt;wsp:rsid wsp:val=&quot;00DF1F4B&quot;/&gt;&lt;wsp:rsid wsp:val=&quot;00DF2E12&quot;/&gt;&lt;wsp:rsid wsp:val=&quot;00DF514A&quot;/&gt;&lt;wsp:rsid wsp:val=&quot;00DF5A7B&quot;/&gt;&lt;wsp:rsid wsp:val=&quot;00DF643A&quot;/&gt;&lt;wsp:rsid wsp:val=&quot;00DF6690&quot;/&gt;&lt;wsp:rsid wsp:val=&quot;00DF6804&quot;/&gt;&lt;wsp:rsid wsp:val=&quot;00E02A4B&quot;/&gt;&lt;wsp:rsid wsp:val=&quot;00E031D0&quot;/&gt;&lt;wsp:rsid wsp:val=&quot;00E0358D&quot;/&gt;&lt;wsp:rsid wsp:val=&quot;00E04323&quot;/&gt;&lt;wsp:rsid wsp:val=&quot;00E04B50&quot;/&gt;&lt;wsp:rsid wsp:val=&quot;00E05D23&quot;/&gt;&lt;wsp:rsid wsp:val=&quot;00E070A2&quot;/&gt;&lt;wsp:rsid wsp:val=&quot;00E07442&quot;/&gt;&lt;wsp:rsid wsp:val=&quot;00E0792C&quot;/&gt;&lt;wsp:rsid wsp:val=&quot;00E21A2A&quot;/&gt;&lt;wsp:rsid wsp:val=&quot;00E22785&quot;/&gt;&lt;wsp:rsid wsp:val=&quot;00E231EC&quot;/&gt;&lt;wsp:rsid wsp:val=&quot;00E2514D&quot;/&gt;&lt;wsp:rsid wsp:val=&quot;00E2561E&quot;/&gt;&lt;wsp:rsid wsp:val=&quot;00E262A6&quot;/&gt;&lt;wsp:rsid wsp:val=&quot;00E2656A&quot;/&gt;&lt;wsp:rsid wsp:val=&quot;00E27165&quot;/&gt;&lt;wsp:rsid wsp:val=&quot;00E27903&quot;/&gt;&lt;wsp:rsid wsp:val=&quot;00E30A67&quot;/&gt;&lt;wsp:rsid wsp:val=&quot;00E31FD2&quot;/&gt;&lt;wsp:rsid wsp:val=&quot;00E345D4&quot;/&gt;&lt;wsp:rsid wsp:val=&quot;00E34F30&quot;/&gt;&lt;wsp:rsid wsp:val=&quot;00E35B6B&quot;/&gt;&lt;wsp:rsid wsp:val=&quot;00E36EE1&quot;/&gt;&lt;wsp:rsid wsp:val=&quot;00E40594&quot;/&gt;&lt;wsp:rsid wsp:val=&quot;00E412D0&quot;/&gt;&lt;wsp:rsid wsp:val=&quot;00E46233&quot;/&gt;&lt;wsp:rsid wsp:val=&quot;00E50F6D&quot;/&gt;&lt;wsp:rsid wsp:val=&quot;00E55F57&quot;/&gt;&lt;wsp:rsid wsp:val=&quot;00E56322&quot;/&gt;&lt;wsp:rsid wsp:val=&quot;00E566CD&quot;/&gt;&lt;wsp:rsid wsp:val=&quot;00E60193&quot;/&gt;&lt;wsp:rsid wsp:val=&quot;00E60982&quot;/&gt;&lt;wsp:rsid wsp:val=&quot;00E61311&quot;/&gt;&lt;wsp:rsid wsp:val=&quot;00E62A48&quot;/&gt;&lt;wsp:rsid wsp:val=&quot;00E62C62&quot;/&gt;&lt;wsp:rsid wsp:val=&quot;00E644F1&quot;/&gt;&lt;wsp:rsid wsp:val=&quot;00E646C6&quot;/&gt;&lt;wsp:rsid wsp:val=&quot;00E654C1&quot;/&gt;&lt;wsp:rsid wsp:val=&quot;00E65D97&quot;/&gt;&lt;wsp:rsid wsp:val=&quot;00E66A25&quot;/&gt;&lt;wsp:rsid wsp:val=&quot;00E70071&quot;/&gt;&lt;wsp:rsid wsp:val=&quot;00E7147E&quot;/&gt;&lt;wsp:rsid wsp:val=&quot;00E72A5A&quot;/&gt;&lt;wsp:rsid wsp:val=&quot;00E73354&quot;/&gt;&lt;wsp:rsid wsp:val=&quot;00E766E3&quot;/&gt;&lt;wsp:rsid wsp:val=&quot;00E83230&quot;/&gt;&lt;wsp:rsid wsp:val=&quot;00E843F7&quot;/&gt;&lt;wsp:rsid wsp:val=&quot;00E87B3F&quot;/&gt;&lt;wsp:rsid wsp:val=&quot;00E914A0&quot;/&gt;&lt;wsp:rsid wsp:val=&quot;00E9242D&quot;/&gt;&lt;wsp:rsid wsp:val=&quot;00E972A1&quot;/&gt;&lt;wsp:rsid wsp:val=&quot;00EA00E0&quot;/&gt;&lt;wsp:rsid wsp:val=&quot;00EA0209&quot;/&gt;&lt;wsp:rsid wsp:val=&quot;00EB4EAD&quot;/&gt;&lt;wsp:rsid wsp:val=&quot;00EB5255&quot;/&gt;&lt;wsp:rsid wsp:val=&quot;00EB5C47&quot;/&gt;&lt;wsp:rsid wsp:val=&quot;00EC02CF&quot;/&gt;&lt;wsp:rsid wsp:val=&quot;00EC6CFD&quot;/&gt;&lt;wsp:rsid wsp:val=&quot;00ED0639&quot;/&gt;&lt;wsp:rsid wsp:val=&quot;00ED0BAE&quot;/&gt;&lt;wsp:rsid wsp:val=&quot;00ED41B1&quot;/&gt;&lt;wsp:rsid wsp:val=&quot;00EE3F01&quot;/&gt;&lt;wsp:rsid wsp:val=&quot;00EE4923&quot;/&gt;&lt;wsp:rsid wsp:val=&quot;00EF1793&quot;/&gt;&lt;wsp:rsid wsp:val=&quot;00EF4755&quot;/&gt;&lt;wsp:rsid wsp:val=&quot;00EF7135&quot;/&gt;&lt;wsp:rsid wsp:val=&quot;00F02438&quot;/&gt;&lt;wsp:rsid wsp:val=&quot;00F027DB&quot;/&gt;&lt;wsp:rsid wsp:val=&quot;00F02B7E&quot;/&gt;&lt;wsp:rsid wsp:val=&quot;00F037B7&quot;/&gt;&lt;wsp:rsid wsp:val=&quot;00F05A74&quot;/&gt;&lt;wsp:rsid wsp:val=&quot;00F05A86&quot;/&gt;&lt;wsp:rsid wsp:val=&quot;00F107DA&quot;/&gt;&lt;wsp:rsid wsp:val=&quot;00F10BDC&quot;/&gt;&lt;wsp:rsid wsp:val=&quot;00F11230&quot;/&gt;&lt;wsp:rsid wsp:val=&quot;00F12294&quot;/&gt;&lt;wsp:rsid wsp:val=&quot;00F14778&quot;/&gt;&lt;wsp:rsid wsp:val=&quot;00F14A7A&quot;/&gt;&lt;wsp:rsid wsp:val=&quot;00F160E0&quot;/&gt;&lt;wsp:rsid wsp:val=&quot;00F16CEE&quot;/&gt;&lt;wsp:rsid wsp:val=&quot;00F176C6&quot;/&gt;&lt;wsp:rsid wsp:val=&quot;00F21F75&quot;/&gt;&lt;wsp:rsid wsp:val=&quot;00F2254B&quot;/&gt;&lt;wsp:rsid wsp:val=&quot;00F22985&quot;/&gt;&lt;wsp:rsid wsp:val=&quot;00F24760&quot;/&gt;&lt;wsp:rsid wsp:val=&quot;00F2663F&quot;/&gt;&lt;wsp:rsid wsp:val=&quot;00F26662&quot;/&gt;&lt;wsp:rsid wsp:val=&quot;00F277FF&quot;/&gt;&lt;wsp:rsid wsp:val=&quot;00F30194&quot;/&gt;&lt;wsp:rsid wsp:val=&quot;00F30329&quot;/&gt;&lt;wsp:rsid wsp:val=&quot;00F30FD9&quot;/&gt;&lt;wsp:rsid wsp:val=&quot;00F32324&quot;/&gt;&lt;wsp:rsid wsp:val=&quot;00F33172&quot;/&gt;&lt;wsp:rsid wsp:val=&quot;00F3383E&quot;/&gt;&lt;wsp:rsid wsp:val=&quot;00F409BC&quot;/&gt;&lt;wsp:rsid wsp:val=&quot;00F44A78&quot;/&gt;&lt;wsp:rsid wsp:val=&quot;00F465A7&quot;/&gt;&lt;wsp:rsid wsp:val=&quot;00F50B7C&quot;/&gt;&lt;wsp:rsid wsp:val=&quot;00F51F3B&quot;/&gt;&lt;wsp:rsid wsp:val=&quot;00F526F8&quot;/&gt;&lt;wsp:rsid wsp:val=&quot;00F532C2&quot;/&gt;&lt;wsp:rsid wsp:val=&quot;00F550E6&quot;/&gt;&lt;wsp:rsid wsp:val=&quot;00F604F6&quot;/&gt;&lt;wsp:rsid wsp:val=&quot;00F66E2A&quot;/&gt;&lt;wsp:rsid wsp:val=&quot;00F66F48&quot;/&gt;&lt;wsp:rsid wsp:val=&quot;00F726A9&quot;/&gt;&lt;wsp:rsid wsp:val=&quot;00F734EB&quot;/&gt;&lt;wsp:rsid wsp:val=&quot;00F74345&quot;/&gt;&lt;wsp:rsid wsp:val=&quot;00F74CC6&quot;/&gt;&lt;wsp:rsid wsp:val=&quot;00F775FB&quot;/&gt;&lt;wsp:rsid wsp:val=&quot;00F77F00&quot;/&gt;&lt;wsp:rsid wsp:val=&quot;00F80A0A&quot;/&gt;&lt;wsp:rsid wsp:val=&quot;00F81D98&quot;/&gt;&lt;wsp:rsid wsp:val=&quot;00F8234E&quot;/&gt;&lt;wsp:rsid wsp:val=&quot;00F82B19&quot;/&gt;&lt;wsp:rsid wsp:val=&quot;00F83293&quot;/&gt;&lt;wsp:rsid wsp:val=&quot;00F841E8&quot;/&gt;&lt;wsp:rsid wsp:val=&quot;00F84523&quot;/&gt;&lt;wsp:rsid wsp:val=&quot;00F84C02&quot;/&gt;&lt;wsp:rsid wsp:val=&quot;00F857D8&quot;/&gt;&lt;wsp:rsid wsp:val=&quot;00F86F8A&quot;/&gt;&lt;wsp:rsid wsp:val=&quot;00F903B7&quot;/&gt;&lt;wsp:rsid wsp:val=&quot;00F906F5&quot;/&gt;&lt;wsp:rsid wsp:val=&quot;00F9212D&quot;/&gt;&lt;wsp:rsid wsp:val=&quot;00F9375C&quot;/&gt;&lt;wsp:rsid wsp:val=&quot;00F93761&quot;/&gt;&lt;wsp:rsid wsp:val=&quot;00F941D3&quot;/&gt;&lt;wsp:rsid wsp:val=&quot;00F94443&quot;/&gt;&lt;wsp:rsid wsp:val=&quot;00F94DE7&quot;/&gt;&lt;wsp:rsid wsp:val=&quot;00F965DA&quot;/&gt;&lt;wsp:rsid wsp:val=&quot;00F975D3&quot;/&gt;&lt;wsp:rsid wsp:val=&quot;00F97F5F&quot;/&gt;&lt;wsp:rsid wsp:val=&quot;00FA0AC7&quot;/&gt;&lt;wsp:rsid wsp:val=&quot;00FA0DA8&quot;/&gt;&lt;wsp:rsid wsp:val=&quot;00FA3FD3&quot;/&gt;&lt;wsp:rsid wsp:val=&quot;00FA406A&quot;/&gt;&lt;wsp:rsid wsp:val=&quot;00FA43D4&quot;/&gt;&lt;wsp:rsid wsp:val=&quot;00FA4839&quot;/&gt;&lt;wsp:rsid wsp:val=&quot;00FA7525&quot;/&gt;&lt;wsp:rsid wsp:val=&quot;00FB0FA5&quot;/&gt;&lt;wsp:rsid wsp:val=&quot;00FB1683&quot;/&gt;&lt;wsp:rsid wsp:val=&quot;00FB503A&quot;/&gt;&lt;wsp:rsid wsp:val=&quot;00FB516C&quot;/&gt;&lt;wsp:rsid wsp:val=&quot;00FB5964&quot;/&gt;&lt;wsp:rsid wsp:val=&quot;00FB660C&quot;/&gt;&lt;wsp:rsid wsp:val=&quot;00FC3C6A&quot;/&gt;&lt;wsp:rsid wsp:val=&quot;00FC55BC&quot;/&gt;&lt;wsp:rsid wsp:val=&quot;00FC575C&quot;/&gt;&lt;wsp:rsid wsp:val=&quot;00FD0236&quot;/&gt;&lt;wsp:rsid wsp:val=&quot;00FD18F4&quot;/&gt;&lt;wsp:rsid wsp:val=&quot;00FD1D2F&quot;/&gt;&lt;wsp:rsid wsp:val=&quot;00FD2337&quot;/&gt;&lt;wsp:rsid wsp:val=&quot;00FD54DB&quot;/&gt;&lt;wsp:rsid wsp:val=&quot;00FD619F&quot;/&gt;&lt;wsp:rsid wsp:val=&quot;00FE16A3&quot;/&gt;&lt;wsp:rsid wsp:val=&quot;00FE19DC&quot;/&gt;&lt;wsp:rsid wsp:val=&quot;00FE2048&quot;/&gt;&lt;wsp:rsid wsp:val=&quot;00FE5838&quot;/&gt;&lt;wsp:rsid wsp:val=&quot;00FE7412&quot;/&gt;&lt;wsp:rsid wsp:val=&quot;00FF0E21&quot;/&gt;&lt;wsp:rsid wsp:val=&quot;00FF45D0&quot;/&gt;&lt;wsp:rsid wsp:val=&quot;01290F7E&quot;/&gt;&lt;wsp:rsid wsp:val=&quot;015D1E09&quot;/&gt;&lt;wsp:rsid wsp:val=&quot;01753746&quot;/&gt;&lt;wsp:rsid wsp:val=&quot;01886C6F&quot;/&gt;&lt;wsp:rsid wsp:val=&quot;018C7910&quot;/&gt;&lt;wsp:rsid wsp:val=&quot;019F3B30&quot;/&gt;&lt;wsp:rsid wsp:val=&quot;01AD0A5B&quot;/&gt;&lt;wsp:rsid wsp:val=&quot;021F7F58&quot;/&gt;&lt;wsp:rsid wsp:val=&quot;022E3AC6&quot;/&gt;&lt;wsp:rsid wsp:val=&quot;02534ED4&quot;/&gt;&lt;wsp:rsid wsp:val=&quot;02697903&quot;/&gt;&lt;wsp:rsid wsp:val=&quot;02821A69&quot;/&gt;&lt;wsp:rsid wsp:val=&quot;02EE51B0&quot;/&gt;&lt;wsp:rsid wsp:val=&quot;02F96569&quot;/&gt;&lt;wsp:rsid wsp:val=&quot;03723129&quot;/&gt;&lt;wsp:rsid wsp:val=&quot;03DA6CFE&quot;/&gt;&lt;wsp:rsid wsp:val=&quot;03EA7B21&quot;/&gt;&lt;wsp:rsid wsp:val=&quot;040354C1&quot;/&gt;&lt;wsp:rsid wsp:val=&quot;047C3C16&quot;/&gt;&lt;wsp:rsid wsp:val=&quot;0496791B&quot;/&gt;&lt;wsp:rsid wsp:val=&quot;04E349EC&quot;/&gt;&lt;wsp:rsid wsp:val=&quot;05361690&quot;/&gt;&lt;wsp:rsid wsp:val=&quot;054E7B36&quot;/&gt;&lt;wsp:rsid wsp:val=&quot;058D172D&quot;/&gt;&lt;wsp:rsid wsp:val=&quot;05F83EAE&quot;/&gt;&lt;wsp:rsid wsp:val=&quot;06253F47&quot;/&gt;&lt;wsp:rsid wsp:val=&quot;063E7D85&quot;/&gt;&lt;wsp:rsid wsp:val=&quot;06AF5C5B&quot;/&gt;&lt;wsp:rsid wsp:val=&quot;06C17066&quot;/&gt;&lt;wsp:rsid wsp:val=&quot;06D465A1&quot;/&gt;&lt;wsp:rsid wsp:val=&quot;07293586&quot;/&gt;&lt;wsp:rsid wsp:val=&quot;07295285&quot;/&gt;&lt;wsp:rsid wsp:val=&quot;07636392&quot;/&gt;&lt;wsp:rsid wsp:val=&quot;076E21B0&quot;/&gt;&lt;wsp:rsid wsp:val=&quot;0775167C&quot;/&gt;&lt;wsp:rsid wsp:val=&quot;07770C56&quot;/&gt;&lt;wsp:rsid wsp:val=&quot;07852DBD&quot;/&gt;&lt;wsp:rsid wsp:val=&quot;07CD6AF7&quot;/&gt;&lt;wsp:rsid wsp:val=&quot;07CF4038&quot;/&gt;&lt;wsp:rsid wsp:val=&quot;07EF54F7&quot;/&gt;&lt;wsp:rsid wsp:val=&quot;08391C14&quot;/&gt;&lt;wsp:rsid wsp:val=&quot;086929F5&quot;/&gt;&lt;wsp:rsid wsp:val=&quot;087C05B2&quot;/&gt;&lt;wsp:rsid wsp:val=&quot;0882554E&quot;/&gt;&lt;wsp:rsid wsp:val=&quot;089E66F4&quot;/&gt;&lt;wsp:rsid wsp:val=&quot;08DA60EF&quot;/&gt;&lt;wsp:rsid wsp:val=&quot;0909481F&quot;/&gt;&lt;wsp:rsid wsp:val=&quot;092217DD&quot;/&gt;&lt;wsp:rsid wsp:val=&quot;093A7294&quot;/&gt;&lt;wsp:rsid wsp:val=&quot;09491BC8&quot;/&gt;&lt;wsp:rsid wsp:val=&quot;096E1B78&quot;/&gt;&lt;wsp:rsid wsp:val=&quot;098B2E89&quot;/&gt;&lt;wsp:rsid wsp:val=&quot;09A247B3&quot;/&gt;&lt;wsp:rsid wsp:val=&quot;09A32B0F&quot;/&gt;&lt;wsp:rsid wsp:val=&quot;09BB5D90&quot;/&gt;&lt;wsp:rsid wsp:val=&quot;0A0D622F&quot;/&gt;&lt;wsp:rsid wsp:val=&quot;0A263993&quot;/&gt;&lt;wsp:rsid wsp:val=&quot;0A265078&quot;/&gt;&lt;wsp:rsid wsp:val=&quot;0A2D3AC2&quot;/&gt;&lt;wsp:rsid wsp:val=&quot;0A710725&quot;/&gt;&lt;wsp:rsid wsp:val=&quot;0A825EE0&quot;/&gt;&lt;wsp:rsid wsp:val=&quot;0AA755DF&quot;/&gt;&lt;wsp:rsid wsp:val=&quot;0AAC68B2&quot;/&gt;&lt;wsp:rsid wsp:val=&quot;0ADE47DF&quot;/&gt;&lt;wsp:rsid wsp:val=&quot;0B120D44&quot;/&gt;&lt;wsp:rsid wsp:val=&quot;0B415BEC&quot;/&gt;&lt;wsp:rsid wsp:val=&quot;0B567948&quot;/&gt;&lt;wsp:rsid wsp:val=&quot;0BA11E4E&quot;/&gt;&lt;wsp:rsid wsp:val=&quot;0BD27BF6&quot;/&gt;&lt;wsp:rsid wsp:val=&quot;0C1C357A&quot;/&gt;&lt;wsp:rsid wsp:val=&quot;0C30382F&quot;/&gt;&lt;wsp:rsid wsp:val=&quot;0C3B3C7D&quot;/&gt;&lt;wsp:rsid wsp:val=&quot;0C6E44FE&quot;/&gt;&lt;wsp:rsid wsp:val=&quot;0C7D1185&quot;/&gt;&lt;wsp:rsid wsp:val=&quot;0CA453B9&quot;/&gt;&lt;wsp:rsid wsp:val=&quot;0CAB2EAE&quot;/&gt;&lt;wsp:rsid wsp:val=&quot;0CE827FC&quot;/&gt;&lt;wsp:rsid wsp:val=&quot;0CEB16C8&quot;/&gt;&lt;wsp:rsid wsp:val=&quot;0CEE165D&quot;/&gt;&lt;wsp:rsid wsp:val=&quot;0D3130BF&quot;/&gt;&lt;wsp:rsid wsp:val=&quot;0D621C7D&quot;/&gt;&lt;wsp:rsid wsp:val=&quot;0D8C3822&quot;/&gt;&lt;wsp:rsid wsp:val=&quot;0E2660EF&quot;/&gt;&lt;wsp:rsid wsp:val=&quot;0E5928AD&quot;/&gt;&lt;wsp:rsid wsp:val=&quot;0E6B438E&quot;/&gt;&lt;wsp:rsid wsp:val=&quot;0E715598&quot;/&gt;&lt;wsp:rsid wsp:val=&quot;0E73034D&quot;/&gt;&lt;wsp:rsid wsp:val=&quot;0EEB72F3&quot;/&gt;&lt;wsp:rsid wsp:val=&quot;0EED500D&quot;/&gt;&lt;wsp:rsid wsp:val=&quot;0EF425D6&quot;/&gt;&lt;wsp:rsid wsp:val=&quot;0F13775A&quot;/&gt;&lt;wsp:rsid wsp:val=&quot;0F1F5E30&quot;/&gt;&lt;wsp:rsid wsp:val=&quot;0F5F45FE&quot;/&gt;&lt;wsp:rsid wsp:val=&quot;0F9A112B&quot;/&gt;&lt;wsp:rsid wsp:val=&quot;100250BF&quot;/&gt;&lt;wsp:rsid wsp:val=&quot;106D2F64&quot;/&gt;&lt;wsp:rsid wsp:val=&quot;10A2566A&quot;/&gt;&lt;wsp:rsid wsp:val=&quot;10B63710&quot;/&gt;&lt;wsp:rsid wsp:val=&quot;10F10820&quot;/&gt;&lt;wsp:rsid wsp:val=&quot;10F515EE&quot;/&gt;&lt;wsp:rsid wsp:val=&quot;11090198&quot;/&gt;&lt;wsp:rsid wsp:val=&quot;111C2F7A&quot;/&gt;&lt;wsp:rsid wsp:val=&quot;1123404A&quot;/&gt;&lt;wsp:rsid wsp:val=&quot;114A0BD3&quot;/&gt;&lt;wsp:rsid wsp:val=&quot;11571444&quot;/&gt;&lt;wsp:rsid wsp:val=&quot;11665CA1&quot;/&gt;&lt;wsp:rsid wsp:val=&quot;1193641A&quot;/&gt;&lt;wsp:rsid wsp:val=&quot;11CA166E&quot;/&gt;&lt;wsp:rsid wsp:val=&quot;123254A4&quot;/&gt;&lt;wsp:rsid wsp:val=&quot;12997BFF&quot;/&gt;&lt;wsp:rsid wsp:val=&quot;12AC38F3&quot;/&gt;&lt;wsp:rsid wsp:val=&quot;13182D37&quot;/&gt;&lt;wsp:rsid wsp:val=&quot;13951726&quot;/&gt;&lt;wsp:rsid wsp:val=&quot;13970EEA&quot;/&gt;&lt;wsp:rsid wsp:val=&quot;13CB596D&quot;/&gt;&lt;wsp:rsid wsp:val=&quot;13CC3254&quot;/&gt;&lt;wsp:rsid wsp:val=&quot;141B6E1E&quot;/&gt;&lt;wsp:rsid wsp:val=&quot;14220022&quot;/&gt;&lt;wsp:rsid wsp:val=&quot;14396509&quot;/&gt;&lt;wsp:rsid wsp:val=&quot;144C67D2&quot;/&gt;&lt;wsp:rsid wsp:val=&quot;145558C5&quot;/&gt;&lt;wsp:rsid wsp:val=&quot;145850C6&quot;/&gt;&lt;wsp:rsid wsp:val=&quot;14BA6FEF&quot;/&gt;&lt;wsp:rsid wsp:val=&quot;14DD2C3C&quot;/&gt;&lt;wsp:rsid wsp:val=&quot;14EA425F&quot;/&gt;&lt;wsp:rsid wsp:val=&quot;151003FB&quot;/&gt;&lt;wsp:rsid wsp:val=&quot;153463B7&quot;/&gt;&lt;wsp:rsid wsp:val=&quot;15396384&quot;/&gt;&lt;wsp:rsid wsp:val=&quot;15436517&quot;/&gt;&lt;wsp:rsid wsp:val=&quot;154F1FA2&quot;/&gt;&lt;wsp:rsid wsp:val=&quot;158E5532&quot;/&gt;&lt;wsp:rsid wsp:val=&quot;159863B1&quot;/&gt;&lt;wsp:rsid wsp:val=&quot;16087E1D&quot;/&gt;&lt;wsp:rsid wsp:val=&quot;16294CD0&quot;/&gt;&lt;wsp:rsid wsp:val=&quot;16D36F75&quot;/&gt;&lt;wsp:rsid wsp:val=&quot;17127177&quot;/&gt;&lt;wsp:rsid wsp:val=&quot;174B595A&quot;/&gt;&lt;wsp:rsid wsp:val=&quot;174D4F79&quot;/&gt;&lt;wsp:rsid wsp:val=&quot;176F3141&quot;/&gt;&lt;wsp:rsid wsp:val=&quot;17701D14&quot;/&gt;&lt;wsp:rsid wsp:val=&quot;17735226&quot;/&gt;&lt;wsp:rsid wsp:val=&quot;177B3E6B&quot;/&gt;&lt;wsp:rsid wsp:val=&quot;17EE16B8&quot;/&gt;&lt;wsp:rsid wsp:val=&quot;182B3C2C&quot;/&gt;&lt;wsp:rsid wsp:val=&quot;1835327C&quot;/&gt;&lt;wsp:rsid wsp:val=&quot;186143C2&quot;/&gt;&lt;wsp:rsid wsp:val=&quot;189F624C&quot;/&gt;&lt;wsp:rsid wsp:val=&quot;18BF512F&quot;/&gt;&lt;wsp:rsid wsp:val=&quot;18FC7448&quot;/&gt;&lt;wsp:rsid wsp:val=&quot;19022CA3&quot;/&gt;&lt;wsp:rsid wsp:val=&quot;192C2713&quot;/&gt;&lt;wsp:rsid wsp:val=&quot;193F15CB&quot;/&gt;&lt;wsp:rsid wsp:val=&quot;19540841&quot;/&gt;&lt;wsp:rsid wsp:val=&quot;19670574&quot;/&gt;&lt;wsp:rsid wsp:val=&quot;19672D11&quot;/&gt;&lt;wsp:rsid wsp:val=&quot;19817EF8&quot;/&gt;&lt;wsp:rsid wsp:val=&quot;199C0018&quot;/&gt;&lt;wsp:rsid wsp:val=&quot;19ED3447&quot;/&gt;&lt;wsp:rsid wsp:val=&quot;1A0A2A87&quot;/&gt;&lt;wsp:rsid wsp:val=&quot;1A1C66C0&quot;/&gt;&lt;wsp:rsid wsp:val=&quot;1A337F70&quot;/&gt;&lt;wsp:rsid wsp:val=&quot;1A402B73&quot;/&gt;&lt;wsp:rsid wsp:val=&quot;1A42393B&quot;/&gt;&lt;wsp:rsid wsp:val=&quot;1A8663A0&quot;/&gt;&lt;wsp:rsid wsp:val=&quot;1AAD45DE&quot;/&gt;&lt;wsp:rsid wsp:val=&quot;1AC6549B&quot;/&gt;&lt;wsp:rsid wsp:val=&quot;1B046F80&quot;/&gt;&lt;wsp:rsid wsp:val=&quot;1B067919&quot;/&gt;&lt;wsp:rsid wsp:val=&quot;1B171B26&quot;/&gt;&lt;wsp:rsid wsp:val=&quot;1B3267B5&quot;/&gt;&lt;wsp:rsid wsp:val=&quot;1B40161D&quot;/&gt;&lt;wsp:rsid wsp:val=&quot;1B441859&quot;/&gt;&lt;wsp:rsid wsp:val=&quot;1B522B5E&quot;/&gt;&lt;wsp:rsid wsp:val=&quot;1B6606B1&quot;/&gt;&lt;wsp:rsid wsp:val=&quot;1B83540D&quot;/&gt;&lt;wsp:rsid wsp:val=&quot;1BB92689&quot;/&gt;&lt;wsp:rsid wsp:val=&quot;1BDD6308&quot;/&gt;&lt;wsp:rsid wsp:val=&quot;1C170489&quot;/&gt;&lt;wsp:rsid wsp:val=&quot;1C201A78&quot;/&gt;&lt;wsp:rsid wsp:val=&quot;1C5D17BA&quot;/&gt;&lt;wsp:rsid wsp:val=&quot;1C5E7925&quot;/&gt;&lt;wsp:rsid wsp:val=&quot;1C896A53&quot;/&gt;&lt;wsp:rsid wsp:val=&quot;1C9B72E6&quot;/&gt;&lt;wsp:rsid wsp:val=&quot;1CD13F56&quot;/&gt;&lt;wsp:rsid wsp:val=&quot;1CFD070F&quot;/&gt;&lt;wsp:rsid wsp:val=&quot;1D53364D&quot;/&gt;&lt;wsp:rsid wsp:val=&quot;1D5F6196&quot;/&gt;&lt;wsp:rsid wsp:val=&quot;1D6132A5&quot;/&gt;&lt;wsp:rsid wsp:val=&quot;1D8E56D5&quot;/&gt;&lt;wsp:rsid wsp:val=&quot;1DAB47A7&quot;/&gt;&lt;wsp:rsid wsp:val=&quot;1DBA12AF&quot;/&gt;&lt;wsp:rsid wsp:val=&quot;1E05210A&quot;/&gt;&lt;wsp:rsid wsp:val=&quot;1E1B192D&quot;/&gt;&lt;wsp:rsid wsp:val=&quot;1E205195&quot;/&gt;&lt;wsp:rsid wsp:val=&quot;1E465A85&quot;/&gt;&lt;wsp:rsid wsp:val=&quot;1E6A3AB6&quot;/&gt;&lt;wsp:rsid wsp:val=&quot;1E7A43DA&quot;/&gt;&lt;wsp:rsid wsp:val=&quot;1E7E58E4&quot;/&gt;&lt;wsp:rsid wsp:val=&quot;1E91399D&quot;/&gt;&lt;wsp:rsid wsp:val=&quot;1E9811D0&quot;/&gt;&lt;wsp:rsid wsp:val=&quot;1F0F2DA3&quot;/&gt;&lt;wsp:rsid wsp:val=&quot;1F330BC9&quot;/&gt;&lt;wsp:rsid wsp:val=&quot;1FAC1BD6&quot;/&gt;&lt;wsp:rsid wsp:val=&quot;1FC55BF9&quot;/&gt;&lt;wsp:rsid wsp:val=&quot;1FE7539E&quot;/&gt;&lt;wsp:rsid wsp:val=&quot;1FEC3A03&quot;/&gt;&lt;wsp:rsid wsp:val=&quot;201725C8&quot;/&gt;&lt;wsp:rsid wsp:val=&quot;20344257&quot;/&gt;&lt;wsp:rsid wsp:val=&quot;203B6335&quot;/&gt;&lt;wsp:rsid wsp:val=&quot;20586D1B&quot;/&gt;&lt;wsp:rsid wsp:val=&quot;20671BE0&quot;/&gt;&lt;wsp:rsid wsp:val=&quot;206E085D&quot;/&gt;&lt;wsp:rsid wsp:val=&quot;206E1437&quot;/&gt;&lt;wsp:rsid wsp:val=&quot;20951D58&quot;/&gt;&lt;wsp:rsid wsp:val=&quot;20963CB8&quot;/&gt;&lt;wsp:rsid wsp:val=&quot;20A81A1B&quot;/&gt;&lt;wsp:rsid wsp:val=&quot;20B07FB6&quot;/&gt;&lt;wsp:rsid wsp:val=&quot;20B646FB&quot;/&gt;&lt;wsp:rsid wsp:val=&quot;20D26415&quot;/&gt;&lt;wsp:rsid wsp:val=&quot;212C7130&quot;/&gt;&lt;wsp:rsid wsp:val=&quot;213B74B1&quot;/&gt;&lt;wsp:rsid wsp:val=&quot;2147756F&quot;/&gt;&lt;wsp:rsid wsp:val=&quot;215A2310&quot;/&gt;&lt;wsp:rsid wsp:val=&quot;218D4053&quot;/&gt;&lt;wsp:rsid wsp:val=&quot;2198698A&quot;/&gt;&lt;wsp:rsid wsp:val=&quot;21A1039B&quot;/&gt;&lt;wsp:rsid wsp:val=&quot;21DA565B&quot;/&gt;&lt;wsp:rsid wsp:val=&quot;21DE318A&quot;/&gt;&lt;wsp:rsid wsp:val=&quot;21E02DE4&quot;/&gt;&lt;wsp:rsid wsp:val=&quot;21EA7F94&quot;/&gt;&lt;wsp:rsid wsp:val=&quot;21EF5B80&quot;/&gt;&lt;wsp:rsid wsp:val=&quot;21FE005D&quot;/&gt;&lt;wsp:rsid wsp:val=&quot;22462793&quot;/&gt;&lt;wsp:rsid wsp:val=&quot;22576990&quot;/&gt;&lt;wsp:rsid wsp:val=&quot;22665141&quot;/&gt;&lt;wsp:rsid wsp:val=&quot;228C4BA7&quot;/&gt;&lt;wsp:rsid wsp:val=&quot;22963C78&quot;/&gt;&lt;wsp:rsid wsp:val=&quot;22F47480&quot;/&gt;&lt;wsp:rsid wsp:val=&quot;23027D5E&quot;/&gt;&lt;wsp:rsid wsp:val=&quot;231B779A&quot;/&gt;&lt;wsp:rsid wsp:val=&quot;23223022&quot;/&gt;&lt;wsp:rsid wsp:val=&quot;23305BCF&quot;/&gt;&lt;wsp:rsid wsp:val=&quot;236B6EB3&quot;/&gt;&lt;wsp:rsid wsp:val=&quot;239755FD&quot;/&gt;&lt;wsp:rsid wsp:val=&quot;23AB3753&quot;/&gt;&lt;wsp:rsid wsp:val=&quot;23DE1C48&quot;/&gt;&lt;wsp:rsid wsp:val=&quot;23E87C34&quot;/&gt;&lt;wsp:rsid wsp:val=&quot;240210CD&quot;/&gt;&lt;wsp:rsid wsp:val=&quot;248F1A88&quot;/&gt;&lt;wsp:rsid wsp:val=&quot;24910737&quot;/&gt;&lt;wsp:rsid wsp:val=&quot;24952167&quot;/&gt;&lt;wsp:rsid wsp:val=&quot;24A81A41&quot;/&gt;&lt;wsp:rsid wsp:val=&quot;24B40CDE&quot;/&gt;&lt;wsp:rsid wsp:val=&quot;24BF09F7&quot;/&gt;&lt;wsp:rsid wsp:val=&quot;252D53FE&quot;/&gt;&lt;wsp:rsid wsp:val=&quot;257162D7&quot;/&gt;&lt;wsp:rsid wsp:val=&quot;25725018&quot;/&gt;&lt;wsp:rsid wsp:val=&quot;25B1778B&quot;/&gt;&lt;wsp:rsid wsp:val=&quot;25D725DE&quot;/&gt;&lt;wsp:rsid wsp:val=&quot;25EC2D81&quot;/&gt;&lt;wsp:rsid wsp:val=&quot;2627132E&quot;/&gt;&lt;wsp:rsid wsp:val=&quot;263C5A6F&quot;/&gt;&lt;wsp:rsid wsp:val=&quot;265901AD&quot;/&gt;&lt;wsp:rsid wsp:val=&quot;265A565A&quot;/&gt;&lt;wsp:rsid wsp:val=&quot;26A225AD&quot;/&gt;&lt;wsp:rsid wsp:val=&quot;26B474A7&quot;/&gt;&lt;wsp:rsid wsp:val=&quot;26E46C7B&quot;/&gt;&lt;wsp:rsid wsp:val=&quot;271E248E&quot;/&gt;&lt;wsp:rsid wsp:val=&quot;277057A2&quot;/&gt;&lt;wsp:rsid wsp:val=&quot;27845454&quot;/&gt;&lt;wsp:rsid wsp:val=&quot;27CE5C62&quot;/&gt;&lt;wsp:rsid wsp:val=&quot;27D97275&quot;/&gt;&lt;wsp:rsid wsp:val=&quot;27EC2BD2&quot;/&gt;&lt;wsp:rsid wsp:val=&quot;28110ABB&quot;/&gt;&lt;wsp:rsid wsp:val=&quot;283D69F1&quot;/&gt;&lt;wsp:rsid wsp:val=&quot;29206EB8&quot;/&gt;&lt;wsp:rsid wsp:val=&quot;29235B3A&quot;/&gt;&lt;wsp:rsid wsp:val=&quot;292C08CF&quot;/&gt;&lt;wsp:rsid wsp:val=&quot;294D2355&quot;/&gt;&lt;wsp:rsid wsp:val=&quot;29595666&quot;/&gt;&lt;wsp:rsid wsp:val=&quot;29707A8F&quot;/&gt;&lt;wsp:rsid wsp:val=&quot;29874881&quot;/&gt;&lt;wsp:rsid wsp:val=&quot;298F1421&quot;/&gt;&lt;wsp:rsid wsp:val=&quot;29E325E0&quot;/&gt;&lt;wsp:rsid wsp:val=&quot;2A0D49F1&quot;/&gt;&lt;wsp:rsid wsp:val=&quot;2A252C00&quot;/&gt;&lt;wsp:rsid wsp:val=&quot;2A452503&quot;/&gt;&lt;wsp:rsid wsp:val=&quot;2A65541B&quot;/&gt;&lt;wsp:rsid wsp:val=&quot;2A81749E&quot;/&gt;&lt;wsp:rsid wsp:val=&quot;2A9431F0&quot;/&gt;&lt;wsp:rsid wsp:val=&quot;2AA236B5&quot;/&gt;&lt;wsp:rsid wsp:val=&quot;2ADB491E&quot;/&gt;&lt;wsp:rsid wsp:val=&quot;2B141BDE&quot;/&gt;&lt;wsp:rsid wsp:val=&quot;2B1F5206&quot;/&gt;&lt;wsp:rsid wsp:val=&quot;2B381D70&quot;/&gt;&lt;wsp:rsid wsp:val=&quot;2B3F0D62&quot;/&gt;&lt;wsp:rsid wsp:val=&quot;2B41088E&quot;/&gt;&lt;wsp:rsid wsp:val=&quot;2B65243A&quot;/&gt;&lt;wsp:rsid wsp:val=&quot;2B6527BD&quot;/&gt;&lt;wsp:rsid wsp:val=&quot;2BA936A8&quot;/&gt;&lt;wsp:rsid wsp:val=&quot;2BEE74ED&quot;/&gt;&lt;wsp:rsid wsp:val=&quot;2C2461A6&quot;/&gt;&lt;wsp:rsid wsp:val=&quot;2C3027C9&quot;/&gt;&lt;wsp:rsid wsp:val=&quot;2C315A5A&quot;/&gt;&lt;wsp:rsid wsp:val=&quot;2C3A5674&quot;/&gt;&lt;wsp:rsid wsp:val=&quot;2C4B1C25&quot;/&gt;&lt;wsp:rsid wsp:val=&quot;2C801CFA&quot;/&gt;&lt;wsp:rsid wsp:val=&quot;2C9C1689&quot;/&gt;&lt;wsp:rsid wsp:val=&quot;2CAC23F9&quot;/&gt;&lt;wsp:rsid wsp:val=&quot;2CCF3A67&quot;/&gt;&lt;wsp:rsid wsp:val=&quot;2CD94E8D&quot;/&gt;&lt;wsp:rsid wsp:val=&quot;2D254588&quot;/&gt;&lt;wsp:rsid wsp:val=&quot;2D34043B&quot;/&gt;&lt;wsp:rsid wsp:val=&quot;2D9E56F5&quot;/&gt;&lt;wsp:rsid wsp:val=&quot;2DA73AE1&quot;/&gt;&lt;wsp:rsid wsp:val=&quot;2DE47F8D&quot;/&gt;&lt;wsp:rsid wsp:val=&quot;2E315F65&quot;/&gt;&lt;wsp:rsid wsp:val=&quot;2E5A0250&quot;/&gt;&lt;wsp:rsid wsp:val=&quot;2E5E1EBD&quot;/&gt;&lt;wsp:rsid wsp:val=&quot;2E667F96&quot;/&gt;&lt;wsp:rsid wsp:val=&quot;2E8226AB&quot;/&gt;&lt;wsp:rsid wsp:val=&quot;2EB76E91&quot;/&gt;&lt;wsp:rsid wsp:val=&quot;2F3F7C39&quot;/&gt;&lt;wsp:rsid wsp:val=&quot;2F5051AF&quot;/&gt;&lt;wsp:rsid wsp:val=&quot;2F9B3D18&quot;/&gt;&lt;wsp:rsid wsp:val=&quot;2FD065E6&quot;/&gt;&lt;wsp:rsid wsp:val=&quot;2FD96870&quot;/&gt;&lt;wsp:rsid wsp:val=&quot;2FE778C1&quot;/&gt;&lt;wsp:rsid wsp:val=&quot;30580BC9&quot;/&gt;&lt;wsp:rsid wsp:val=&quot;309537C1&quot;/&gt;&lt;wsp:rsid wsp:val=&quot;30A67A16&quot;/&gt;&lt;wsp:rsid wsp:val=&quot;30DB7244&quot;/&gt;&lt;wsp:rsid wsp:val=&quot;311E2ED7&quot;/&gt;&lt;wsp:rsid wsp:val=&quot;315076E8&quot;/&gt;&lt;wsp:rsid wsp:val=&quot;315619EE&quot;/&gt;&lt;wsp:rsid wsp:val=&quot;315C449C&quot;/&gt;&lt;wsp:rsid wsp:val=&quot;31B82709&quot;/&gt;&lt;wsp:rsid wsp:val=&quot;31C83722&quot;/&gt;&lt;wsp:rsid wsp:val=&quot;31D05482&quot;/&gt;&lt;wsp:rsid wsp:val=&quot;31EB75D7&quot;/&gt;&lt;wsp:rsid wsp:val=&quot;3205474E&quot;/&gt;&lt;wsp:rsid wsp:val=&quot;323B5397&quot;/&gt;&lt;wsp:rsid wsp:val=&quot;32400B34&quot;/&gt;&lt;wsp:rsid wsp:val=&quot;32446DD1&quot;/&gt;&lt;wsp:rsid wsp:val=&quot;324651F3&quot;/&gt;&lt;wsp:rsid wsp:val=&quot;324C089B&quot;/&gt;&lt;wsp:rsid wsp:val=&quot;32513718&quot;/&gt;&lt;wsp:rsid wsp:val=&quot;326E2272&quot;/&gt;&lt;wsp:rsid wsp:val=&quot;329E6876&quot;/&gt;&lt;wsp:rsid wsp:val=&quot;32AB72CC&quot;/&gt;&lt;wsp:rsid wsp:val=&quot;32B34BF9&quot;/&gt;&lt;wsp:rsid wsp:val=&quot;32C51588&quot;/&gt;&lt;wsp:rsid wsp:val=&quot;32EA309B&quot;/&gt;&lt;wsp:rsid wsp:val=&quot;32F10A57&quot;/&gt;&lt;wsp:rsid wsp:val=&quot;333015F2&quot;/&gt;&lt;wsp:rsid wsp:val=&quot;334B6320&quot;/&gt;&lt;wsp:rsid wsp:val=&quot;33613E2E&quot;/&gt;&lt;wsp:rsid wsp:val=&quot;336244FF&quot;/&gt;&lt;wsp:rsid wsp:val=&quot;337444AC&quot;/&gt;&lt;wsp:rsid wsp:val=&quot;338D7053&quot;/&gt;&lt;wsp:rsid wsp:val=&quot;33D934D4&quot;/&gt;&lt;wsp:rsid wsp:val=&quot;33FE2F6A&quot;/&gt;&lt;wsp:rsid wsp:val=&quot;340E07E5&quot;/&gt;&lt;wsp:rsid wsp:val=&quot;34235BF7&quot;/&gt;&lt;wsp:rsid wsp:val=&quot;347569FD&quot;/&gt;&lt;wsp:rsid wsp:val=&quot;34A71D01&quot;/&gt;&lt;wsp:rsid wsp:val=&quot;34F74BD3&quot;/&gt;&lt;wsp:rsid wsp:val=&quot;35287DEF&quot;/&gt;&lt;wsp:rsid wsp:val=&quot;35690D78&quot;/&gt;&lt;wsp:rsid wsp:val=&quot;358C5FA8&quot;/&gt;&lt;wsp:rsid wsp:val=&quot;35963DC9&quot;/&gt;&lt;wsp:rsid wsp:val=&quot;35A16C78&quot;/&gt;&lt;wsp:rsid wsp:val=&quot;35C15DF1&quot;/&gt;&lt;wsp:rsid wsp:val=&quot;35E01715&quot;/&gt;&lt;wsp:rsid wsp:val=&quot;35E055D7&quot;/&gt;&lt;wsp:rsid wsp:val=&quot;36074A7F&quot;/&gt;&lt;wsp:rsid wsp:val=&quot;363E0457&quot;/&gt;&lt;wsp:rsid wsp:val=&quot;3684230E&quot;/&gt;&lt;wsp:rsid wsp:val=&quot;36923549&quot;/&gt;&lt;wsp:rsid wsp:val=&quot;36B75FBF&quot;/&gt;&lt;wsp:rsid wsp:val=&quot;36BD0C45&quot;/&gt;&lt;wsp:rsid wsp:val=&quot;36C14A44&quot;/&gt;&lt;wsp:rsid wsp:val=&quot;36F823B4&quot;/&gt;&lt;wsp:rsid wsp:val=&quot;37315F38&quot;/&gt;&lt;wsp:rsid wsp:val=&quot;37754E09&quot;/&gt;&lt;wsp:rsid wsp:val=&quot;37D20E57&quot;/&gt;&lt;wsp:rsid wsp:val=&quot;37E00298&quot;/&gt;&lt;wsp:rsid wsp:val=&quot;37E578E6&quot;/&gt;&lt;wsp:rsid wsp:val=&quot;37F0691F&quot;/&gt;&lt;wsp:rsid wsp:val=&quot;37F4684E&quot;/&gt;&lt;wsp:rsid wsp:val=&quot;38626B64&quot;/&gt;&lt;wsp:rsid wsp:val=&quot;38B302F9&quot;/&gt;&lt;wsp:rsid wsp:val=&quot;38BB18EB&quot;/&gt;&lt;wsp:rsid wsp:val=&quot;38F12CD3&quot;/&gt;&lt;wsp:rsid wsp:val=&quot;38F94775&quot;/&gt;&lt;wsp:rsid wsp:val=&quot;392971ED&quot;/&gt;&lt;wsp:rsid wsp:val=&quot;39325651&quot;/&gt;&lt;wsp:rsid wsp:val=&quot;393C6ED0&quot;/&gt;&lt;wsp:rsid wsp:val=&quot;39597976&quot;/&gt;&lt;wsp:rsid wsp:val=&quot;395F496C&quot;/&gt;&lt;wsp:rsid wsp:val=&quot;39671A73&quot;/&gt;&lt;wsp:rsid wsp:val=&quot;399C171C&quot;/&gt;&lt;wsp:rsid wsp:val=&quot;39E12752&quot;/&gt;&lt;wsp:rsid wsp:val=&quot;39EB4452&quot;/&gt;&lt;wsp:rsid wsp:val=&quot;39F3541F&quot;/&gt;&lt;wsp:rsid wsp:val=&quot;3A0D261A&quot;/&gt;&lt;wsp:rsid wsp:val=&quot;3A335AE6&quot;/&gt;&lt;wsp:rsid wsp:val=&quot;3A4D7408&quot;/&gt;&lt;wsp:rsid wsp:val=&quot;3A597AE6&quot;/&gt;&lt;wsp:rsid wsp:val=&quot;3A872856&quot;/&gt;&lt;wsp:rsid wsp:val=&quot;3A887EF3&quot;/&gt;&lt;wsp:rsid wsp:val=&quot;3AB80F81&quot;/&gt;&lt;wsp:rsid wsp:val=&quot;3AD36EA3&quot;/&gt;&lt;wsp:rsid wsp:val=&quot;3B3763D1&quot;/&gt;&lt;wsp:rsid wsp:val=&quot;3B3911ED&quot;/&gt;&lt;wsp:rsid wsp:val=&quot;3B471387&quot;/&gt;&lt;wsp:rsid wsp:val=&quot;3BA76A26&quot;/&gt;&lt;wsp:rsid wsp:val=&quot;3C2F6E1E&quot;/&gt;&lt;wsp:rsid wsp:val=&quot;3C3041AA&quot;/&gt;&lt;wsp:rsid wsp:val=&quot;3C351E3D&quot;/&gt;&lt;wsp:rsid wsp:val=&quot;3C4F64BA&quot;/&gt;&lt;wsp:rsid wsp:val=&quot;3CDA245A&quot;/&gt;&lt;wsp:rsid wsp:val=&quot;3D0B0215&quot;/&gt;&lt;wsp:rsid wsp:val=&quot;3D1E06B7&quot;/&gt;&lt;wsp:rsid wsp:val=&quot;3D253A8B&quot;/&gt;&lt;wsp:rsid wsp:val=&quot;3D8B21D4&quot;/&gt;&lt;wsp:rsid wsp:val=&quot;3E341781&quot;/&gt;&lt;wsp:rsid wsp:val=&quot;3E7A587D&quot;/&gt;&lt;wsp:rsid wsp:val=&quot;3EAC0483&quot;/&gt;&lt;wsp:rsid wsp:val=&quot;3EDA0523&quot;/&gt;&lt;wsp:rsid wsp:val=&quot;3F7B12CB&quot;/&gt;&lt;wsp:rsid wsp:val=&quot;3F9335C1&quot;/&gt;&lt;wsp:rsid wsp:val=&quot;3FAE3F57&quot;/&gt;&lt;wsp:rsid wsp:val=&quot;3FC2288A&quot;/&gt;&lt;wsp:rsid wsp:val=&quot;400926DE&quot;/&gt;&lt;wsp:rsid wsp:val=&quot;4032541F&quot;/&gt;&lt;wsp:rsid wsp:val=&quot;40387CC5&quot;/&gt;&lt;wsp:rsid wsp:val=&quot;40520D87&quot;/&gt;&lt;wsp:rsid wsp:val=&quot;4059346A&quot;/&gt;&lt;wsp:rsid wsp:val=&quot;405F179F&quot;/&gt;&lt;wsp:rsid wsp:val=&quot;407A6407&quot;/&gt;&lt;wsp:rsid wsp:val=&quot;40B545A0&quot;/&gt;&lt;wsp:rsid wsp:val=&quot;40FB7670&quot;/&gt;&lt;wsp:rsid wsp:val=&quot;41251421&quot;/&gt;&lt;wsp:rsid wsp:val=&quot;41272213&quot;/&gt;&lt;wsp:rsid wsp:val=&quot;412F3A1A&quot;/&gt;&lt;wsp:rsid wsp:val=&quot;414626ED&quot;/&gt;&lt;wsp:rsid wsp:val=&quot;415D2049&quot;/&gt;&lt;wsp:rsid wsp:val=&quot;41652D3C&quot;/&gt;&lt;wsp:rsid wsp:val=&quot;41C07D0A&quot;/&gt;&lt;wsp:rsid wsp:val=&quot;41FF4F3E&quot;/&gt;&lt;wsp:rsid wsp:val=&quot;4200449D&quot;/&gt;&lt;wsp:rsid wsp:val=&quot;42075BA1&quot;/&gt;&lt;wsp:rsid wsp:val=&quot;423A3BCC&quot;/&gt;&lt;wsp:rsid wsp:val=&quot;424741EF&quot;/&gt;&lt;wsp:rsid wsp:val=&quot;424E57D2&quot;/&gt;&lt;wsp:rsid wsp:val=&quot;42963FE9&quot;/&gt;&lt;wsp:rsid wsp:val=&quot;42B26C49&quot;/&gt;&lt;wsp:rsid wsp:val=&quot;42D669C5&quot;/&gt;&lt;wsp:rsid wsp:val=&quot;42F97747&quot;/&gt;&lt;wsp:rsid wsp:val=&quot;43020B7B&quot;/&gt;&lt;wsp:rsid wsp:val=&quot;43193DDE&quot;/&gt;&lt;wsp:rsid wsp:val=&quot;43301127&quot;/&gt;&lt;wsp:rsid wsp:val=&quot;433A6FE6&quot;/&gt;&lt;wsp:rsid wsp:val=&quot;43480868&quot;/&gt;&lt;wsp:rsid wsp:val=&quot;4350713C&quot;/&gt;&lt;wsp:rsid wsp:val=&quot;436653E0&quot;/&gt;&lt;wsp:rsid wsp:val=&quot;436E0CB2&quot;/&gt;&lt;wsp:rsid wsp:val=&quot;438A3A14&quot;/&gt;&lt;wsp:rsid wsp:val=&quot;43A66856&quot;/&gt;&lt;wsp:rsid wsp:val=&quot;43B958AD&quot;/&gt;&lt;wsp:rsid wsp:val=&quot;43C4431A&quot;/&gt;&lt;wsp:rsid wsp:val=&quot;43F3462F&quot;/&gt;&lt;wsp:rsid wsp:val=&quot;440E10EE&quot;/&gt;&lt;wsp:rsid wsp:val=&quot;441237C5&quot;/&gt;&lt;wsp:rsid wsp:val=&quot;443775B0&quot;/&gt;&lt;wsp:rsid wsp:val=&quot;444E0D07&quot;/&gt;&lt;wsp:rsid wsp:val=&quot;4467501D&quot;/&gt;&lt;wsp:rsid wsp:val=&quot;447A1390&quot;/&gt;&lt;wsp:rsid wsp:val=&quot;44A43B7B&quot;/&gt;&lt;wsp:rsid wsp:val=&quot;44B951CC&quot;/&gt;&lt;wsp:rsid wsp:val=&quot;44C856C4&quot;/&gt;&lt;wsp:rsid wsp:val=&quot;44CD14E0&quot;/&gt;&lt;wsp:rsid wsp:val=&quot;44F05012&quot;/&gt;&lt;wsp:rsid wsp:val=&quot;44F20B0B&quot;/&gt;&lt;wsp:rsid wsp:val=&quot;452E5F4C&quot;/&gt;&lt;wsp:rsid wsp:val=&quot;454728B0&quot;/&gt;&lt;wsp:rsid wsp:val=&quot;45612018&quot;/&gt;&lt;wsp:rsid wsp:val=&quot;45694E44&quot;/&gt;&lt;wsp:rsid wsp:val=&quot;458946E9&quot;/&gt;&lt;wsp:rsid wsp:val=&quot;45A47C0E&quot;/&gt;&lt;wsp:rsid wsp:val=&quot;45ED3300&quot;/&gt;&lt;wsp:rsid wsp:val=&quot;460E1C7B&quot;/&gt;&lt;wsp:rsid wsp:val=&quot;460E6F6B&quot;/&gt;&lt;wsp:rsid wsp:val=&quot;46577FD6&quot;/&gt;&lt;wsp:rsid wsp:val=&quot;46787E89&quot;/&gt;&lt;wsp:rsid wsp:val=&quot;46B61944&quot;/&gt;&lt;wsp:rsid wsp:val=&quot;46C962FC&quot;/&gt;&lt;wsp:rsid wsp:val=&quot;46D955A7&quot;/&gt;&lt;wsp:rsid wsp:val=&quot;47133957&quot;/&gt;&lt;wsp:rsid wsp:val=&quot;47232A99&quot;/&gt;&lt;wsp:rsid wsp:val=&quot;475C073D&quot;/&gt;&lt;wsp:rsid wsp:val=&quot;47A07E0C&quot;/&gt;&lt;wsp:rsid wsp:val=&quot;47A140AA&quot;/&gt;&lt;wsp:rsid wsp:val=&quot;48000043&quot;/&gt;&lt;wsp:rsid wsp:val=&quot;4870272E&quot;/&gt;&lt;wsp:rsid wsp:val=&quot;487B3619&quot;/&gt;&lt;wsp:rsid wsp:val=&quot;489A151D&quot;/&gt;&lt;wsp:rsid wsp:val=&quot;48A835F4&quot;/&gt;&lt;wsp:rsid wsp:val=&quot;48DA542B&quot;/&gt;&lt;wsp:rsid wsp:val=&quot;48E165A4&quot;/&gt;&lt;wsp:rsid wsp:val=&quot;49000F55&quot;/&gt;&lt;wsp:rsid wsp:val=&quot;490502D8&quot;/&gt;&lt;wsp:rsid wsp:val=&quot;49180694&quot;/&gt;&lt;wsp:rsid wsp:val=&quot;493759AC&quot;/&gt;&lt;wsp:rsid wsp:val=&quot;49907B4B&quot;/&gt;&lt;wsp:rsid wsp:val=&quot;49AB1508&quot;/&gt;&lt;wsp:rsid wsp:val=&quot;49B25CF7&quot;/&gt;&lt;wsp:rsid wsp:val=&quot;49CE5ED2&quot;/&gt;&lt;wsp:rsid wsp:val=&quot;49DC7715&quot;/&gt;&lt;wsp:rsid wsp:val=&quot;49FC181A&quot;/&gt;&lt;wsp:rsid wsp:val=&quot;4A023139&quot;/&gt;&lt;wsp:rsid wsp:val=&quot;4A070E34&quot;/&gt;&lt;wsp:rsid wsp:val=&quot;4A310715&quot;/&gt;&lt;wsp:rsid wsp:val=&quot;4A4B2573&quot;/&gt;&lt;wsp:rsid wsp:val=&quot;4A4D21FE&quot;/&gt;&lt;wsp:rsid wsp:val=&quot;4A7B576F&quot;/&gt;&lt;wsp:rsid wsp:val=&quot;4A80685B&quot;/&gt;&lt;wsp:rsid wsp:val=&quot;4AA443BF&quot;/&gt;&lt;wsp:rsid wsp:val=&quot;4AB9714B&quot;/&gt;&lt;wsp:rsid wsp:val=&quot;4ACE1952&quot;/&gt;&lt;wsp:rsid wsp:val=&quot;4ADF3B5F&quot;/&gt;&lt;wsp:rsid wsp:val=&quot;4AEB2504&quot;/&gt;&lt;wsp:rsid wsp:val=&quot;4AF561A9&quot;/&gt;&lt;wsp:rsid wsp:val=&quot;4B5C6F5D&quot;/&gt;&lt;wsp:rsid wsp:val=&quot;4B60778F&quot;/&gt;&lt;wsp:rsid wsp:val=&quot;4B9366F7&quot;/&gt;&lt;wsp:rsid wsp:val=&quot;4BA8076C&quot;/&gt;&lt;wsp:rsid wsp:val=&quot;4BB14C65&quot;/&gt;&lt;wsp:rsid wsp:val=&quot;4BE97561&quot;/&gt;&lt;wsp:rsid wsp:val=&quot;4C1149EA&quot;/&gt;&lt;wsp:rsid wsp:val=&quot;4C435330&quot;/&gt;&lt;wsp:rsid wsp:val=&quot;4C4A0649&quot;/&gt;&lt;wsp:rsid wsp:val=&quot;4C7E5ECA&quot;/&gt;&lt;wsp:rsid wsp:val=&quot;4C876AA5&quot;/&gt;&lt;wsp:rsid wsp:val=&quot;4CA50490&quot;/&gt;&lt;wsp:rsid wsp:val=&quot;4CC54FDD&quot;/&gt;&lt;wsp:rsid wsp:val=&quot;4CE57767&quot;/&gt;&lt;wsp:rsid wsp:val=&quot;4D0E00FB&quot;/&gt;&lt;wsp:rsid wsp:val=&quot;4D0E6C05&quot;/&gt;&lt;wsp:rsid wsp:val=&quot;4D176606&quot;/&gt;&lt;wsp:rsid wsp:val=&quot;4D524790&quot;/&gt;&lt;wsp:rsid wsp:val=&quot;4D8D225A&quot;/&gt;&lt;wsp:rsid wsp:val=&quot;4DA40CE1&quot;/&gt;&lt;wsp:rsid wsp:val=&quot;4DEC4FB0&quot;/&gt;&lt;wsp:rsid wsp:val=&quot;4E075D8A&quot;/&gt;&lt;wsp:rsid wsp:val=&quot;4E2D48DA&quot;/&gt;&lt;wsp:rsid wsp:val=&quot;4E37390F&quot;/&gt;&lt;wsp:rsid wsp:val=&quot;4E6D3230&quot;/&gt;&lt;wsp:rsid wsp:val=&quot;4E8116E8&quot;/&gt;&lt;wsp:rsid wsp:val=&quot;4EA76741&quot;/&gt;&lt;wsp:rsid wsp:val=&quot;4EC00FAD&quot;/&gt;&lt;wsp:rsid wsp:val=&quot;4EF209CA&quot;/&gt;&lt;wsp:rsid wsp:val=&quot;4F4B53EA&quot;/&gt;&lt;wsp:rsid wsp:val=&quot;4F4E012F&quot;/&gt;&lt;wsp:rsid wsp:val=&quot;4F692941&quot;/&gt;&lt;wsp:rsid wsp:val=&quot;4F9547EC&quot;/&gt;&lt;wsp:rsid wsp:val=&quot;4F9843DC&quot;/&gt;&lt;wsp:rsid wsp:val=&quot;4FA15887&quot;/&gt;&lt;wsp:rsid wsp:val=&quot;4FC62A8C&quot;/&gt;&lt;wsp:rsid wsp:val=&quot;4FE20F0D&quot;/&gt;&lt;wsp:rsid wsp:val=&quot;4FE51552&quot;/&gt;&lt;wsp:rsid wsp:val=&quot;501222E0&quot;/&gt;&lt;wsp:rsid wsp:val=&quot;50504C4B&quot;/&gt;&lt;wsp:rsid wsp:val=&quot;506A70D2&quot;/&gt;&lt;wsp:rsid wsp:val=&quot;509C6E7C&quot;/&gt;&lt;wsp:rsid wsp:val=&quot;50A8054F&quot;/&gt;&lt;wsp:rsid wsp:val=&quot;50AE2F19&quot;/&gt;&lt;wsp:rsid wsp:val=&quot;50BA42F9&quot;/&gt;&lt;wsp:rsid wsp:val=&quot;50FE4613&quot;/&gt;&lt;wsp:rsid wsp:val=&quot;5162104E&quot;/&gt;&lt;wsp:rsid wsp:val=&quot;516C3C72&quot;/&gt;&lt;wsp:rsid wsp:val=&quot;52180D44&quot;/&gt;&lt;wsp:rsid wsp:val=&quot;521F2A93&quot;/&gt;&lt;wsp:rsid wsp:val=&quot;52282717&quot;/&gt;&lt;wsp:rsid wsp:val=&quot;526606C2&quot;/&gt;&lt;wsp:rsid wsp:val=&quot;52860D64&quot;/&gt;&lt;wsp:rsid wsp:val=&quot;52AA6800&quot;/&gt;&lt;wsp:rsid wsp:val=&quot;52C673C7&quot;/&gt;&lt;wsp:rsid wsp:val=&quot;52EA277D&quot;/&gt;&lt;wsp:rsid wsp:val=&quot;52F24577&quot;/&gt;&lt;wsp:rsid wsp:val=&quot;53163E96&quot;/&gt;&lt;wsp:rsid wsp:val=&quot;531A1F43&quot;/&gt;&lt;wsp:rsid wsp:val=&quot;53230361&quot;/&gt;&lt;wsp:rsid wsp:val=&quot;53A039CC&quot;/&gt;&lt;wsp:rsid wsp:val=&quot;53A1505A&quot;/&gt;&lt;wsp:rsid wsp:val=&quot;53BF62DB&quot;/&gt;&lt;wsp:rsid wsp:val=&quot;53FC752F&quot;/&gt;&lt;wsp:rsid wsp:val=&quot;54063E08&quot;/&gt;&lt;wsp:rsid wsp:val=&quot;54085ED4&quot;/&gt;&lt;wsp:rsid wsp:val=&quot;54162CDC&quot;/&gt;&lt;wsp:rsid wsp:val=&quot;543437E8&quot;/&gt;&lt;wsp:rsid wsp:val=&quot;544B3BE4&quot;/&gt;&lt;wsp:rsid wsp:val=&quot;54B12736&quot;/&gt;&lt;wsp:rsid wsp:val=&quot;54B80C69&quot;/&gt;&lt;wsp:rsid wsp:val=&quot;54F73313&quot;/&gt;&lt;wsp:rsid wsp:val=&quot;54F80955&quot;/&gt;&lt;wsp:rsid wsp:val=&quot;55085A60&quot;/&gt;&lt;wsp:rsid wsp:val=&quot;551B751F&quot;/&gt;&lt;wsp:rsid wsp:val=&quot;555170A7&quot;/&gt;&lt;wsp:rsid wsp:val=&quot;555C613E&quot;/&gt;&lt;wsp:rsid wsp:val=&quot;556233C2&quot;/&gt;&lt;wsp:rsid wsp:val=&quot;5587536D&quot;/&gt;&lt;wsp:rsid wsp:val=&quot;55943798&quot;/&gt;&lt;wsp:rsid wsp:val=&quot;559B174B&quot;/&gt;&lt;wsp:rsid wsp:val=&quot;55CE0CF4&quot;/&gt;&lt;wsp:rsid wsp:val=&quot;55DF0EB7&quot;/&gt;&lt;wsp:rsid wsp:val=&quot;56044125&quot;/&gt;&lt;wsp:rsid wsp:val=&quot;560C1580&quot;/&gt;&lt;wsp:rsid wsp:val=&quot;561F3F64&quot;/&gt;&lt;wsp:rsid wsp:val=&quot;56592E41&quot;/&gt;&lt;wsp:rsid wsp:val=&quot;568D0913&quot;/&gt;&lt;wsp:rsid wsp:val=&quot;5697709C&quot;/&gt;&lt;wsp:rsid wsp:val=&quot;56B22A9C&quot;/&gt;&lt;wsp:rsid wsp:val=&quot;56BC6214&quot;/&gt;&lt;wsp:rsid wsp:val=&quot;56D946B8&quot;/&gt;&lt;wsp:rsid wsp:val=&quot;56DC0F52&quot;/&gt;&lt;wsp:rsid wsp:val=&quot;572F5526&quot;/&gt;&lt;wsp:rsid wsp:val=&quot;57814C12&quot;/&gt;&lt;wsp:rsid wsp:val=&quot;57A55E1F&quot;/&gt;&lt;wsp:rsid wsp:val=&quot;57AF17D7&quot;/&gt;&lt;wsp:rsid wsp:val=&quot;57B72A76&quot;/&gt;&lt;wsp:rsid wsp:val=&quot;57B91294&quot;/&gt;&lt;wsp:rsid wsp:val=&quot;57C3426C&quot;/&gt;&lt;wsp:rsid wsp:val=&quot;57CE1F93&quot;/&gt;&lt;wsp:rsid wsp:val=&quot;58281544&quot;/&gt;&lt;wsp:rsid wsp:val=&quot;585651F5&quot;/&gt;&lt;wsp:rsid wsp:val=&quot;585A2598&quot;/&gt;&lt;wsp:rsid wsp:val=&quot;58847722&quot;/&gt;&lt;wsp:rsid wsp:val=&quot;588743D1&quot;/&gt;&lt;wsp:rsid wsp:val=&quot;5887701A&quot;/&gt;&lt;wsp:rsid wsp:val=&quot;58D501F4&quot;/&gt;&lt;wsp:rsid wsp:val=&quot;58FC58DC&quot;/&gt;&lt;wsp:rsid wsp:val=&quot;590E560F&quot;/&gt;&lt;wsp:rsid wsp:val=&quot;597F3AB1&quot;/&gt;&lt;wsp:rsid wsp:val=&quot;59C0439F&quot;/&gt;&lt;wsp:rsid wsp:val=&quot;59E746E3&quot;/&gt;&lt;wsp:rsid wsp:val=&quot;5A033B31&quot;/&gt;&lt;wsp:rsid wsp:val=&quot;5A786DB8&quot;/&gt;&lt;wsp:rsid wsp:val=&quot;5A991B1D&quot;/&gt;&lt;wsp:rsid wsp:val=&quot;5ABE2233&quot;/&gt;&lt;wsp:rsid wsp:val=&quot;5ADD2BA5&quot;/&gt;&lt;wsp:rsid wsp:val=&quot;5AEE043F&quot;/&gt;&lt;wsp:rsid wsp:val=&quot;5BBB255D&quot;/&gt;&lt;wsp:rsid wsp:val=&quot;5BD7600D&quot;/&gt;&lt;wsp:rsid wsp:val=&quot;5BDF5D95&quot;/&gt;&lt;wsp:rsid wsp:val=&quot;5BFE7528&quot;/&gt;&lt;wsp:rsid wsp:val=&quot;5C050F4B&quot;/&gt;&lt;wsp:rsid wsp:val=&quot;5C107BEF&quot;/&gt;&lt;wsp:rsid wsp:val=&quot;5C2238AB&quot;/&gt;&lt;wsp:rsid wsp:val=&quot;5C5D6BC1&quot;/&gt;&lt;wsp:rsid wsp:val=&quot;5C5F4D82&quot;/&gt;&lt;wsp:rsid wsp:val=&quot;5C873A6F&quot;/&gt;&lt;wsp:rsid wsp:val=&quot;5C8C341B&quot;/&gt;&lt;wsp:rsid wsp:val=&quot;5CFA2FF4&quot;/&gt;&lt;wsp:rsid wsp:val=&quot;5D380B12&quot;/&gt;&lt;wsp:rsid wsp:val=&quot;5D59154F&quot;/&gt;&lt;wsp:rsid wsp:val=&quot;5DCA6BBC&quot;/&gt;&lt;wsp:rsid wsp:val=&quot;5E192A8C&quot;/&gt;&lt;wsp:rsid wsp:val=&quot;5E2205CA&quot;/&gt;&lt;wsp:rsid wsp:val=&quot;5E2467F1&quot;/&gt;&lt;wsp:rsid wsp:val=&quot;5E7D2010&quot;/&gt;&lt;wsp:rsid wsp:val=&quot;5E9E498A&quot;/&gt;&lt;wsp:rsid wsp:val=&quot;5EB41DF4&quot;/&gt;&lt;wsp:rsid wsp:val=&quot;5EC8587D&quot;/&gt;&lt;wsp:rsid wsp:val=&quot;5F1A2B43&quot;/&gt;&lt;wsp:rsid wsp:val=&quot;5F860FF2&quot;/&gt;&lt;wsp:rsid wsp:val=&quot;5FB837BB&quot;/&gt;&lt;wsp:rsid wsp:val=&quot;60251740&quot;/&gt;&lt;wsp:rsid wsp:val=&quot;6037369D&quot;/&gt;&lt;wsp:rsid wsp:val=&quot;605D1356&quot;/&gt;&lt;wsp:rsid wsp:val=&quot;60CC405A&quot;/&gt;&lt;wsp:rsid wsp:val=&quot;60EF5D26&quot;/&gt;&lt;wsp:rsid wsp:val=&quot;61013BB8&quot;/&gt;&lt;wsp:rsid wsp:val=&quot;613A1697&quot;/&gt;&lt;wsp:rsid wsp:val=&quot;61624992&quot;/&gt;&lt;wsp:rsid wsp:val=&quot;61BE18D7&quot;/&gt;&lt;wsp:rsid wsp:val=&quot;61E215D8&quot;/&gt;&lt;wsp:rsid wsp:val=&quot;61F83585&quot;/&gt;&lt;wsp:rsid wsp:val=&quot;620B4DE2&quot;/&gt;&lt;wsp:rsid wsp:val=&quot;621B3775&quot;/&gt;&lt;wsp:rsid wsp:val=&quot;62364782&quot;/&gt;&lt;wsp:rsid wsp:val=&quot;625C743B&quot;/&gt;&lt;wsp:rsid wsp:val=&quot;626764BC&quot;/&gt;&lt;wsp:rsid wsp:val=&quot;627B5AC3&quot;/&gt;&lt;wsp:rsid wsp:val=&quot;62960B4F&quot;/&gt;&lt;wsp:rsid wsp:val=&quot;62B53A47&quot;/&gt;&lt;wsp:rsid wsp:val=&quot;62B814EF&quot;/&gt;&lt;wsp:rsid wsp:val=&quot;62FB47D4&quot;/&gt;&lt;wsp:rsid wsp:val=&quot;632E1C1D&quot;/&gt;&lt;wsp:rsid wsp:val=&quot;633C21FE&quot;/&gt;&lt;wsp:rsid wsp:val=&quot;637737BC&quot;/&gt;&lt;wsp:rsid wsp:val=&quot;6394356A&quot;/&gt;&lt;wsp:rsid wsp:val=&quot;639A594E&quot;/&gt;&lt;wsp:rsid wsp:val=&quot;63C61B2C&quot;/&gt;&lt;wsp:rsid wsp:val=&quot;63D40BE9&quot;/&gt;&lt;wsp:rsid wsp:val=&quot;64061D57&quot;/&gt;&lt;wsp:rsid wsp:val=&quot;64102431&quot;/&gt;&lt;wsp:rsid wsp:val=&quot;641E61FF&quot;/&gt;&lt;wsp:rsid wsp:val=&quot;64753107&quot;/&gt;&lt;wsp:rsid wsp:val=&quot;64A5243A&quot;/&gt;&lt;wsp:rsid wsp:val=&quot;64BB489D&quot;/&gt;&lt;wsp:rsid wsp:val=&quot;64C47814&quot;/&gt;&lt;wsp:rsid wsp:val=&quot;64CC2606&quot;/&gt;&lt;wsp:rsid wsp:val=&quot;64D823B5&quot;/&gt;&lt;wsp:rsid wsp:val=&quot;64F14DEE&quot;/&gt;&lt;wsp:rsid wsp:val=&quot;64F25C4B&quot;/&gt;&lt;wsp:rsid wsp:val=&quot;64F531DE&quot;/&gt;&lt;wsp:rsid wsp:val=&quot;64F733FB&quot;/&gt;&lt;wsp:rsid wsp:val=&quot;65373578&quot;/&gt;&lt;wsp:rsid wsp:val=&quot;65855B7B&quot;/&gt;&lt;wsp:rsid wsp:val=&quot;65D976D1&quot;/&gt;&lt;wsp:rsid wsp:val=&quot;663A1335&quot;/&gt;&lt;wsp:rsid wsp:val=&quot;665B766F&quot;/&gt;&lt;wsp:rsid wsp:val=&quot;665C5C0C&quot;/&gt;&lt;wsp:rsid wsp:val=&quot;667271DD&quot;/&gt;&lt;wsp:rsid wsp:val=&quot;66BA5445&quot;/&gt;&lt;wsp:rsid wsp:val=&quot;671D183F&quot;/&gt;&lt;wsp:rsid wsp:val=&quot;671F124A&quot;/&gt;&lt;wsp:rsid wsp:val=&quot;677A33C6&quot;/&gt;&lt;wsp:rsid wsp:val=&quot;678459F0&quot;/&gt;&lt;wsp:rsid wsp:val=&quot;67856E44&quot;/&gt;&lt;wsp:rsid wsp:val=&quot;67BA2D3C&quot;/&gt;&lt;wsp:rsid wsp:val=&quot;67F737B2&quot;/&gt;&lt;wsp:rsid wsp:val=&quot;68055D20&quot;/&gt;&lt;wsp:rsid wsp:val=&quot;681F6961&quot;/&gt;&lt;wsp:rsid wsp:val=&quot;682269E1&quot;/&gt;&lt;wsp:rsid wsp:val=&quot;68326CE6&quot;/&gt;&lt;wsp:rsid wsp:val=&quot;68610A2F&quot;/&gt;&lt;wsp:rsid wsp:val=&quot;68805514&quot;/&gt;&lt;wsp:rsid wsp:val=&quot;688F638F&quot;/&gt;&lt;wsp:rsid wsp:val=&quot;68FE2FAA&quot;/&gt;&lt;wsp:rsid wsp:val=&quot;6923369E&quot;/&gt;&lt;wsp:rsid wsp:val=&quot;69316E2F&quot;/&gt;&lt;wsp:rsid wsp:val=&quot;694E2071&quot;/&gt;&lt;wsp:rsid wsp:val=&quot;695C1C65&quot;/&gt;&lt;wsp:rsid wsp:val=&quot;69766163&quot;/&gt;&lt;wsp:rsid wsp:val=&quot;697A3B33&quot;/&gt;&lt;wsp:rsid wsp:val=&quot;69D44760&quot;/&gt;&lt;wsp:rsid wsp:val=&quot;6A2A5C37&quot;/&gt;&lt;wsp:rsid wsp:val=&quot;6A4E184A&quot;/&gt;&lt;wsp:rsid wsp:val=&quot;6A520EC7&quot;/&gt;&lt;wsp:rsid wsp:val=&quot;6A687B43&quot;/&gt;&lt;wsp:rsid wsp:val=&quot;6AB77E8E&quot;/&gt;&lt;wsp:rsid wsp:val=&quot;6AF87E20&quot;/&gt;&lt;wsp:rsid wsp:val=&quot;6B0B7C00&quot;/&gt;&lt;wsp:rsid wsp:val=&quot;6B140BF9&quot;/&gt;&lt;wsp:rsid wsp:val=&quot;6B322639&quot;/&gt;&lt;wsp:rsid wsp:val=&quot;6B5D3C1D&quot;/&gt;&lt;wsp:rsid wsp:val=&quot;6B5E0140&quot;/&gt;&lt;wsp:rsid wsp:val=&quot;6BC67A8C&quot;/&gt;&lt;wsp:rsid wsp:val=&quot;6C1D0C7C&quot;/&gt;&lt;wsp:rsid wsp:val=&quot;6C596833&quot;/&gt;&lt;wsp:rsid wsp:val=&quot;6C636C38&quot;/&gt;&lt;wsp:rsid wsp:val=&quot;6C881636&quot;/&gt;&lt;wsp:rsid wsp:val=&quot;6C962A35&quot;/&gt;&lt;wsp:rsid wsp:val=&quot;6C9854C4&quot;/&gt;&lt;wsp:rsid wsp:val=&quot;6CB00A5F&quot;/&gt;&lt;wsp:rsid wsp:val=&quot;6CB0179F&quot;/&gt;&lt;wsp:rsid wsp:val=&quot;6CB2337E&quot;/&gt;&lt;wsp:rsid wsp:val=&quot;6CB303CD&quot;/&gt;&lt;wsp:rsid wsp:val=&quot;6CC83FFB&quot;/&gt;&lt;wsp:rsid wsp:val=&quot;6D601880&quot;/&gt;&lt;wsp:rsid wsp:val=&quot;6D935DD7&quot;/&gt;&lt;wsp:rsid wsp:val=&quot;6D9B526C&quot;/&gt;&lt;wsp:rsid wsp:val=&quot;6DB34098&quot;/&gt;&lt;wsp:rsid wsp:val=&quot;6DB545B6&quot;/&gt;&lt;wsp:rsid wsp:val=&quot;6DE02FB4&quot;/&gt;&lt;wsp:rsid wsp:val=&quot;6DFB3020&quot;/&gt;&lt;wsp:rsid wsp:val=&quot;6E1D50AE&quot;/&gt;&lt;wsp:rsid wsp:val=&quot;6E514CED&quot;/&gt;&lt;wsp:rsid wsp:val=&quot;6EAD4575&quot;/&gt;&lt;wsp:rsid wsp:val=&quot;6EB563D5&quot;/&gt;&lt;wsp:rsid wsp:val=&quot;6ED92677&quot;/&gt;&lt;wsp:rsid wsp:val=&quot;6EDD2500&quot;/&gt;&lt;wsp:rsid wsp:val=&quot;6F025158&quot;/&gt;&lt;wsp:rsid wsp:val=&quot;6F215C44&quot;/&gt;&lt;wsp:rsid wsp:val=&quot;6F225983&quot;/&gt;&lt;wsp:rsid wsp:val=&quot;6F54601A&quot;/&gt;&lt;wsp:rsid wsp:val=&quot;6F697C94&quot;/&gt;&lt;wsp:rsid wsp:val=&quot;6FD33957&quot;/&gt;&lt;wsp:rsid wsp:val=&quot;6FFC5590&quot;/&gt;&lt;wsp:rsid wsp:val=&quot;70277D14&quot;/&gt;&lt;wsp:rsid wsp:val=&quot;70545BA6&quot;/&gt;&lt;wsp:rsid wsp:val=&quot;705D5A3F&quot;/&gt;&lt;wsp:rsid wsp:val=&quot;706D1DD0&quot;/&gt;&lt;wsp:rsid wsp:val=&quot;70856B87&quot;/&gt;&lt;wsp:rsid wsp:val=&quot;70A22DB5&quot;/&gt;&lt;wsp:rsid wsp:val=&quot;70B83BA6&quot;/&gt;&lt;wsp:rsid wsp:val=&quot;70D527EE&quot;/&gt;&lt;wsp:rsid wsp:val=&quot;71333633&quot;/&gt;&lt;wsp:rsid wsp:val=&quot;71350741&quot;/&gt;&lt;wsp:rsid wsp:val=&quot;715B5300&quot;/&gt;&lt;wsp:rsid wsp:val=&quot;71B71935&quot;/&gt;&lt;wsp:rsid wsp:val=&quot;71D27F8A&quot;/&gt;&lt;wsp:rsid wsp:val=&quot;723A2822&quot;/&gt;&lt;wsp:rsid wsp:val=&quot;72553024&quot;/&gt;&lt;wsp:rsid wsp:val=&quot;726A6EF9&quot;/&gt;&lt;wsp:rsid wsp:val=&quot;72826C46&quot;/&gt;&lt;wsp:rsid wsp:val=&quot;72B56DCF&quot;/&gt;&lt;wsp:rsid wsp:val=&quot;72C01A12&quot;/&gt;&lt;wsp:rsid wsp:val=&quot;72E36719&quot;/&gt;&lt;wsp:rsid wsp:val=&quot;72F13B80&quot;/&gt;&lt;wsp:rsid wsp:val=&quot;72F47912&quot;/&gt;&lt;wsp:rsid wsp:val=&quot;73122968&quot;/&gt;&lt;wsp:rsid wsp:val=&quot;731727D5&quot;/&gt;&lt;wsp:rsid wsp:val=&quot;731F5D5E&quot;/&gt;&lt;wsp:rsid wsp:val=&quot;732619CF&quot;/&gt;&lt;wsp:rsid wsp:val=&quot;733817AF&quot;/&gt;&lt;wsp:rsid wsp:val=&quot;738C18CB&quot;/&gt;&lt;wsp:rsid wsp:val=&quot;73C51AD5&quot;/&gt;&lt;wsp:rsid wsp:val=&quot;73D67E93&quot;/&gt;&lt;wsp:rsid wsp:val=&quot;73E052BC&quot;/&gt;&lt;wsp:rsid wsp:val=&quot;73EA2620&quot;/&gt;&lt;wsp:rsid wsp:val=&quot;73ED2806&quot;/&gt;&lt;wsp:rsid wsp:val=&quot;73F737C4&quot;/&gt;&lt;wsp:rsid wsp:val=&quot;741E793C&quot;/&gt;&lt;wsp:rsid wsp:val=&quot;74251D33&quot;/&gt;&lt;wsp:rsid wsp:val=&quot;74355F62&quot;/&gt;&lt;wsp:rsid wsp:val=&quot;745E3944&quot;/&gt;&lt;wsp:rsid wsp:val=&quot;7479712F&quot;/&gt;&lt;wsp:rsid wsp:val=&quot;748051BB&quot;/&gt;&lt;wsp:rsid wsp:val=&quot;74874906&quot;/&gt;&lt;wsp:rsid wsp:val=&quot;74E244D5&quot;/&gt;&lt;wsp:rsid wsp:val=&quot;757840E4&quot;/&gt;&lt;wsp:rsid wsp:val=&quot;758B0493&quot;/&gt;&lt;wsp:rsid wsp:val=&quot;75AA4D7D&quot;/&gt;&lt;wsp:rsid wsp:val=&quot;75F82D68&quot;/&gt;&lt;wsp:rsid wsp:val=&quot;75FF5884&quot;/&gt;&lt;wsp:rsid wsp:val=&quot;76313E23&quot;/&gt;&lt;wsp:rsid wsp:val=&quot;7635099D&quot;/&gt;&lt;wsp:rsid wsp:val=&quot;763E2BEB&quot;/&gt;&lt;wsp:rsid wsp:val=&quot;764741E2&quot;/&gt;&lt;wsp:rsid wsp:val=&quot;76736D71&quot;/&gt;&lt;wsp:rsid wsp:val=&quot;76960176&quot;/&gt;&lt;wsp:rsid wsp:val=&quot;769B62DC&quot;/&gt;&lt;wsp:rsid wsp:val=&quot;76BB6F2A&quot;/&gt;&lt;wsp:rsid wsp:val=&quot;76C05D43&quot;/&gt;&lt;wsp:rsid wsp:val=&quot;76C34592&quot;/&gt;&lt;wsp:rsid wsp:val=&quot;76C678AE&quot;/&gt;&lt;wsp:rsid wsp:val=&quot;76DD68F5&quot;/&gt;&lt;wsp:rsid wsp:val=&quot;77762421&quot;/&gt;&lt;wsp:rsid wsp:val=&quot;77B56B1F&quot;/&gt;&lt;wsp:rsid wsp:val=&quot;780F09F4&quot;/&gt;&lt;wsp:rsid wsp:val=&quot;782A4F3F&quot;/&gt;&lt;wsp:rsid wsp:val=&quot;782B5247&quot;/&gt;&lt;wsp:rsid wsp:val=&quot;782D6F7B&quot;/&gt;&lt;wsp:rsid wsp:val=&quot;78374F2B&quot;/&gt;&lt;wsp:rsid wsp:val=&quot;78574485&quot;/&gt;&lt;wsp:rsid wsp:val=&quot;78704450&quot;/&gt;&lt;wsp:rsid wsp:val=&quot;7879264D&quot;/&gt;&lt;wsp:rsid wsp:val=&quot;7892370F&quot;/&gt;&lt;wsp:rsid wsp:val=&quot;78A90480&quot;/&gt;&lt;wsp:rsid wsp:val=&quot;78DB3308&quot;/&gt;&lt;wsp:rsid wsp:val=&quot;790E4F15&quot;/&gt;&lt;wsp:rsid wsp:val=&quot;7974613D&quot;/&gt;&lt;wsp:rsid wsp:val=&quot;7A102EAC&quot;/&gt;&lt;wsp:rsid wsp:val=&quot;7A181268&quot;/&gt;&lt;wsp:rsid wsp:val=&quot;7A364017&quot;/&gt;&lt;wsp:rsid wsp:val=&quot;7A8265E1&quot;/&gt;&lt;wsp:rsid wsp:val=&quot;7AA91E53&quot;/&gt;&lt;wsp:rsid wsp:val=&quot;7B641393&quot;/&gt;&lt;wsp:rsid wsp:val=&quot;7B686D42&quot;/&gt;&lt;wsp:rsid wsp:val=&quot;7B841746&quot;/&gt;&lt;wsp:rsid wsp:val=&quot;7B933A26&quot;/&gt;&lt;wsp:rsid wsp:val=&quot;7BCC6F38&quot;/&gt;&lt;wsp:rsid wsp:val=&quot;7BD1454E&quot;/&gt;&lt;wsp:rsid wsp:val=&quot;7BD8392F&quot;/&gt;&lt;wsp:rsid wsp:val=&quot;7C0A35A6&quot;/&gt;&lt;wsp:rsid wsp:val=&quot;7C3C40BE&quot;/&gt;&lt;wsp:rsid wsp:val=&quot;7C424FBE&quot;/&gt;&lt;wsp:rsid wsp:val=&quot;7C4E408C&quot;/&gt;&lt;wsp:rsid wsp:val=&quot;7C5C7B16&quot;/&gt;&lt;wsp:rsid wsp:val=&quot;7C6C5AC7&quot;/&gt;&lt;wsp:rsid wsp:val=&quot;7CA42E56&quot;/&gt;&lt;wsp:rsid wsp:val=&quot;7CBC51FE&quot;/&gt;&lt;wsp:rsid wsp:val=&quot;7CC6544B&quot;/&gt;&lt;wsp:rsid wsp:val=&quot;7CC6608C&quot;/&gt;&lt;wsp:rsid wsp:val=&quot;7CD24A22&quot;/&gt;&lt;wsp:rsid wsp:val=&quot;7CFD2DEF&quot;/&gt;&lt;wsp:rsid wsp:val=&quot;7D0239FF&quot;/&gt;&lt;wsp:rsid wsp:val=&quot;7D0D15B6&quot;/&gt;&lt;wsp:rsid wsp:val=&quot;7D1B1F25&quot;/&gt;&lt;wsp:rsid wsp:val=&quot;7D2C1DAB&quot;/&gt;&lt;wsp:rsid wsp:val=&quot;7D307E9D&quot;/&gt;&lt;wsp:rsid wsp:val=&quot;7D515947&quot;/&gt;&lt;wsp:rsid wsp:val=&quot;7D572F04&quot;/&gt;&lt;wsp:rsid wsp:val=&quot;7D5E40CD&quot;/&gt;&lt;wsp:rsid wsp:val=&quot;7DCD56F2&quot;/&gt;&lt;wsp:rsid wsp:val=&quot;7DDB71B7&quot;/&gt;&lt;wsp:rsid wsp:val=&quot;7DF21E4B&quot;/&gt;&lt;wsp:rsid wsp:val=&quot;7E4A1AC2&quot;/&gt;&lt;wsp:rsid wsp:val=&quot;7E5E59BF&quot;/&gt;&lt;wsp:rsid wsp:val=&quot;7E68119A&quot;/&gt;&lt;wsp:rsid wsp:val=&quot;7E9637B2&quot;/&gt;&lt;wsp:rsid wsp:val=&quot;7EB376D4&quot;/&gt;&lt;wsp:rsid wsp:val=&quot;7F001CE7&quot;/&gt;&lt;wsp:rsid wsp:val=&quot;7F1255AA&quot;/&gt;&lt;wsp:rsid wsp:val=&quot;7F1E5CFC&quot;/&gt;&lt;wsp:rsid wsp:val=&quot;7F8900D5&quot;/&gt;&lt;wsp:rsid wsp:val=&quot;7FA16F1B&quot;/&gt;&lt;wsp:rsid wsp:val=&quot;7FE47E50&quot;/&gt;&lt;wsp:rsid wsp:val=&quot;7FF50432&quot;/&gt;&lt;/wsp:rsids&gt;&lt;/w:docPr&gt;&lt;w:body&gt;&lt;w:p wsp:rsidR=&quot;00000000&quot; wsp:rsidRDefault=&quot;00505D0D&quot;&gt;&lt;m:oMathPara&gt;&lt;m:oMath&gt;&lt;m:f&gt;&lt;m:fPr&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x:font wx:val=&quot;Cambria Math&quot;/&gt;&lt;w:sz w:val=&quot;28&quot;/&gt;&lt;w:sz-cs w:val=&quot;28&quot;/&gt;&lt;/w:rPr&gt;&lt;m:t&gt;q&lt;/m:t&gt;&lt;/m:r&gt;&lt;/m:e&gt;&lt;m:sub&gt;&lt;m:r&gt;&lt;m:rPr&gt;&lt;m:sty m:val=&quot;p&quot;/&gt;&lt;/m:rPr&gt;&lt;w:rPr&gt;&lt;w:rFonts w:ascii=&quot;Cambria Math&quot;/&gt;&lt;wx:font wx:val=&quot;Cambria Math&quot;/&gt;&lt;w:sz w:val=&quot;28&quot;/&gt;&lt;w:sz-cs w:val=&quot;28&quot;/&gt;&lt;/w:rPr&gt;&lt;m:t&gt;4&lt;/m:t&gt;&lt;/m:r&gt;&lt;/m:sub&gt;&lt;/m:sSub&gt;&lt;m:r&gt;&lt;m:rPr&gt;&lt;m:sty m:val=&quot;p&quot;/&gt;&lt;/m:rPr&gt;&lt;w:rPr&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x:font wx:val=&quot;Cambria Math&quot;/&gt;&lt;w:sz w:val=&quot;28&quot;/&gt;&lt;w:sz-cs w:val=&quot;28&quot;/&gt;&lt;/w:rPr&gt;&lt;m:t&gt;Q&lt;/m:t&gt;&lt;/m:r&gt;&lt;/m:e&gt;&lt;m:sub&gt;&lt;m:r&gt;&lt;m:rPr&gt;&lt;m:sty m:val=&quot;p&quot;/&gt;&lt;/m:rPr&gt;&lt;w:rPr&gt;&lt;w:rFonts w:ascii=&quot;Cambria Math&quot;/&gt;&lt;wx:font wx:val=&quot;Cambria Math&quot;/&gt;&lt;w:sz w:val=&quot;28&quot;/&gt;&lt;w:sz-cs w:val=&quot;28&quot;/&gt;&lt;/w:rPr&gt;&lt;m:t&gt;net&lt;/m:t&gt;&lt;/m:r&gt;&lt;m:r&gt;&lt;m:rPr&gt;&lt;m:sty m:val=&quot;p&quot;/&gt;&lt;/m:rPr&gt;&lt;w:rPr&gt;&lt;wx:font wx:val=&quot;宋体&quot;/&gt;&lt;w:sz w:val=&quot;28&quot;/&gt;&lt;w:sz-cs w:val=&quot;28&quot;/&gt;&lt;/w:rPr&gt;&lt;m:t&gt;，&lt;/m:t&gt;&lt;/m:r&gt;&lt;m:r&gt;&lt;m:rPr&gt;&lt;m:sty m:val=&quot;p&quot;/&gt;&lt;/m:rPr&gt;&lt;w:rPr&gt;&lt;w:rFonts w:ascii=&quot;Cambria Math&quot;/&gt;&lt;wx:font wx:val=&quot;Cambria Math&quot;/&gt;&lt;w:sz w:val=&quot;28&quot;/&gt;&lt;w:sz-cs w:val=&quot;28&quot;/&gt;&lt;/w:rPr&gt;&lt;m:t&gt;ar&lt;/m:t&gt;&lt;/m:r&gt;&lt;/m:sub&gt;&lt;/m:sSub&gt;&lt;/m:num&gt;&lt;m:den&gt;&lt;m:r&gt;&lt;m:rPr&gt;&lt;m:sty m:val=&quot;p&quot;/&gt;&lt;/m:rPr&gt;&lt;w:rPr&gt;&lt;w:rFonts w:ascii=&quot;Cambria Math&quot;/&gt;&lt;wx:font wx:val=&quot;Cambria Math&quot;/&gt;&lt;w:sz w:val=&quot;28&quot;/&gt;&lt;w:sz-cs w:val=&quot;28&quot;/&gt;&lt;/w:rPr&gt;&lt;m:t&gt;100&lt;/m:t&gt;&lt;/m:r&gt;&lt;m:r&gt;&lt;m:rPr&gt;&lt;m:sty m:val=&quot;p&quot;/&gt;&lt;/m:rPr&gt;&lt;w:rPr&gt;&lt;w:sz w:val=&quot;28&quot;/&gt;&lt;w:sz-cs w:val=&quot;28&quot;/&gt;&lt;/w:rPr&gt;&lt;m:t&gt;×&lt;/m:t&gt;&lt;/m:r&gt;&lt;m:r&gt;&lt;m:rPr&gt;&lt;m:sty m:val=&quot;p&quot;/&gt;&lt;/m:rPr&gt;&lt;w:rPr&gt;&lt;w:rFonts w:ascii=&quot;Cambria Math&quot;/&gt;&lt;wx:font wx:val=&quot;Cambria Math&quot;/&gt;&lt;w:sz w:val=&quot;28&quot;/&gt;&lt;w:sz-cs w:val=&quot;28&quot;/&gt;&lt;/w:rPr&gt;&lt;m:t&gt;33870&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30" chromakey="#FFFFFF" o:title=""/>
                  <o:lock v:ext="edit" aspectratio="t"/>
                  <w10:wrap type="none"/>
                  <w10:anchorlock/>
                </v:shape>
              </w:pict>
            </w:r>
            <w:r>
              <w:rPr>
                <w:color w:val="auto"/>
                <w:sz w:val="28"/>
                <w:szCs w:val="28"/>
              </w:rPr>
              <w:fldChar w:fldCharType="end"/>
            </w:r>
            <w:r>
              <w:rPr>
                <w:color w:val="auto"/>
                <w:sz w:val="28"/>
                <w:szCs w:val="28"/>
              </w:rPr>
              <w:t>）</w:t>
            </w:r>
          </w:p>
          <w:p>
            <w:pPr>
              <w:spacing w:line="360" w:lineRule="auto"/>
              <w:ind w:firstLine="480" w:firstLineChars="200"/>
              <w:rPr>
                <w:color w:val="auto"/>
                <w:sz w:val="24"/>
              </w:rPr>
            </w:pPr>
            <w:r>
              <w:rPr>
                <w:rFonts w:hint="eastAsia"/>
                <w:color w:val="auto"/>
                <w:sz w:val="24"/>
              </w:rPr>
              <w:t>E</w:t>
            </w:r>
            <w:r>
              <w:rPr>
                <w:rFonts w:hint="eastAsia"/>
                <w:color w:val="auto"/>
                <w:sz w:val="24"/>
                <w:vertAlign w:val="subscript"/>
              </w:rPr>
              <w:t>hz</w:t>
            </w:r>
            <w:r>
              <w:rPr>
                <w:rFonts w:hint="eastAsia"/>
                <w:color w:val="auto"/>
                <w:sz w:val="24"/>
              </w:rPr>
              <w:t>——核算时段内灰渣产生量，t</w:t>
            </w:r>
          </w:p>
          <w:p>
            <w:pPr>
              <w:spacing w:line="360" w:lineRule="auto"/>
              <w:ind w:firstLine="480" w:firstLineChars="200"/>
              <w:rPr>
                <w:color w:val="auto"/>
                <w:sz w:val="24"/>
              </w:rPr>
            </w:pPr>
            <w:r>
              <w:rPr>
                <w:rFonts w:hint="eastAsia"/>
                <w:color w:val="auto"/>
                <w:sz w:val="24"/>
              </w:rPr>
              <w:t>R——核算时段内锅炉燃料耗量，t；本项目锅炉燃烧生物质（秸秆）总量为5515t/a</w:t>
            </w:r>
          </w:p>
          <w:p>
            <w:pPr>
              <w:spacing w:line="360" w:lineRule="auto"/>
              <w:ind w:firstLine="480" w:firstLineChars="200"/>
              <w:rPr>
                <w:color w:val="auto"/>
                <w:sz w:val="24"/>
              </w:rPr>
            </w:pPr>
            <w:r>
              <w:rPr>
                <w:rFonts w:hint="eastAsia"/>
                <w:color w:val="auto"/>
                <w:sz w:val="24"/>
              </w:rPr>
              <w:t>A</w:t>
            </w:r>
            <w:r>
              <w:rPr>
                <w:rFonts w:hint="eastAsia"/>
                <w:color w:val="auto"/>
                <w:sz w:val="24"/>
                <w:vertAlign w:val="subscript"/>
              </w:rPr>
              <w:t>ar</w:t>
            </w:r>
            <w:r>
              <w:rPr>
                <w:rFonts w:hint="eastAsia"/>
                <w:color w:val="auto"/>
                <w:sz w:val="24"/>
              </w:rPr>
              <w:t>——收到基灰分的质量分数，%；</w:t>
            </w:r>
            <w:r>
              <w:rPr>
                <w:bCs/>
                <w:color w:val="auto"/>
                <w:sz w:val="24"/>
              </w:rPr>
              <w:t>A</w:t>
            </w:r>
            <w:r>
              <w:rPr>
                <w:bCs/>
                <w:color w:val="auto"/>
                <w:sz w:val="24"/>
                <w:vertAlign w:val="subscript"/>
              </w:rPr>
              <w:t>ar</w:t>
            </w:r>
            <w:r>
              <w:rPr>
                <w:rFonts w:hint="eastAsia"/>
                <w:bCs/>
                <w:color w:val="auto"/>
                <w:sz w:val="24"/>
              </w:rPr>
              <w:t>=6.48%</w:t>
            </w:r>
          </w:p>
          <w:p>
            <w:pPr>
              <w:spacing w:line="360" w:lineRule="auto"/>
              <w:ind w:firstLine="480" w:firstLineChars="200"/>
              <w:rPr>
                <w:color w:val="auto"/>
                <w:sz w:val="24"/>
              </w:rPr>
            </w:pPr>
            <w:r>
              <w:rPr>
                <w:rFonts w:hint="eastAsia"/>
                <w:color w:val="auto"/>
                <w:sz w:val="24"/>
              </w:rPr>
              <w:t>q</w:t>
            </w:r>
            <w:r>
              <w:rPr>
                <w:rFonts w:hint="eastAsia"/>
                <w:color w:val="auto"/>
                <w:sz w:val="24"/>
                <w:vertAlign w:val="subscript"/>
              </w:rPr>
              <w:t>4</w:t>
            </w:r>
            <w:r>
              <w:rPr>
                <w:rFonts w:hint="eastAsia"/>
                <w:color w:val="auto"/>
                <w:sz w:val="24"/>
              </w:rPr>
              <w:t>——锅炉机械不完全燃烧热损失，%；</w:t>
            </w:r>
            <w:r>
              <w:rPr>
                <w:bCs/>
                <w:color w:val="auto"/>
                <w:sz w:val="24"/>
              </w:rPr>
              <w:t>根据</w:t>
            </w:r>
            <w:r>
              <w:rPr>
                <w:rFonts w:hint="eastAsia"/>
                <w:bCs/>
                <w:color w:val="auto"/>
                <w:sz w:val="24"/>
              </w:rPr>
              <w:t>黄飞</w:t>
            </w:r>
            <w:r>
              <w:rPr>
                <w:bCs/>
                <w:color w:val="auto"/>
                <w:sz w:val="24"/>
              </w:rPr>
              <w:t>、</w:t>
            </w:r>
            <w:r>
              <w:rPr>
                <w:rFonts w:hint="eastAsia"/>
                <w:bCs/>
                <w:color w:val="auto"/>
                <w:sz w:val="24"/>
              </w:rPr>
              <w:t>何明</w:t>
            </w:r>
            <w:r>
              <w:rPr>
                <w:bCs/>
                <w:color w:val="auto"/>
                <w:sz w:val="24"/>
              </w:rPr>
              <w:t>等人《</w:t>
            </w:r>
            <w:r>
              <w:rPr>
                <w:rFonts w:hint="eastAsia"/>
                <w:bCs/>
                <w:color w:val="auto"/>
                <w:sz w:val="24"/>
              </w:rPr>
              <w:t>锅炉机械不完全燃烧燃烧热损失q</w:t>
            </w:r>
            <w:r>
              <w:rPr>
                <w:rFonts w:hint="eastAsia"/>
                <w:bCs/>
                <w:color w:val="auto"/>
                <w:sz w:val="24"/>
                <w:vertAlign w:val="subscript"/>
              </w:rPr>
              <w:t>4</w:t>
            </w:r>
            <w:r>
              <w:rPr>
                <w:rFonts w:hint="eastAsia"/>
                <w:bCs/>
                <w:color w:val="auto"/>
                <w:sz w:val="24"/>
              </w:rPr>
              <w:t>的因素分析</w:t>
            </w:r>
            <w:r>
              <w:rPr>
                <w:bCs/>
                <w:color w:val="auto"/>
                <w:sz w:val="24"/>
              </w:rPr>
              <w:t>》</w:t>
            </w:r>
            <w:r>
              <w:rPr>
                <w:rFonts w:hint="eastAsia"/>
                <w:bCs/>
                <w:color w:val="auto"/>
                <w:sz w:val="24"/>
              </w:rPr>
              <w:t>中</w:t>
            </w:r>
            <w:r>
              <w:rPr>
                <w:bCs/>
                <w:color w:val="auto"/>
                <w:sz w:val="24"/>
              </w:rPr>
              <w:t>，</w:t>
            </w:r>
            <w:r>
              <w:rPr>
                <w:rFonts w:hint="eastAsia"/>
                <w:color w:val="auto"/>
                <w:sz w:val="24"/>
              </w:rPr>
              <w:t>考虑锅炉热效率为80.11%，q</w:t>
            </w:r>
            <w:r>
              <w:rPr>
                <w:rFonts w:hint="eastAsia"/>
                <w:color w:val="auto"/>
                <w:sz w:val="24"/>
                <w:vertAlign w:val="subscript"/>
              </w:rPr>
              <w:t>4</w:t>
            </w:r>
            <w:r>
              <w:rPr>
                <w:rFonts w:hint="eastAsia"/>
                <w:color w:val="auto"/>
                <w:sz w:val="24"/>
              </w:rPr>
              <w:t>=11.97%</w:t>
            </w:r>
          </w:p>
          <w:p>
            <w:pPr>
              <w:spacing w:line="360" w:lineRule="auto"/>
              <w:ind w:firstLine="480" w:firstLineChars="200"/>
              <w:rPr>
                <w:color w:val="auto"/>
                <w:sz w:val="24"/>
              </w:rPr>
            </w:pPr>
            <w:r>
              <w:rPr>
                <w:rFonts w:hint="eastAsia"/>
                <w:color w:val="auto"/>
                <w:sz w:val="24"/>
              </w:rPr>
              <w:t>Q</w:t>
            </w:r>
            <w:r>
              <w:rPr>
                <w:rFonts w:hint="eastAsia"/>
                <w:color w:val="auto"/>
                <w:sz w:val="24"/>
                <w:vertAlign w:val="subscript"/>
              </w:rPr>
              <w:t>net，ar</w:t>
            </w:r>
            <w:r>
              <w:rPr>
                <w:rFonts w:hint="eastAsia"/>
                <w:color w:val="auto"/>
                <w:sz w:val="24"/>
              </w:rPr>
              <w:t>——收到基低位发热量，KJ/kg。根据生物质（秸秆）分析报告中Q</w:t>
            </w:r>
            <w:r>
              <w:rPr>
                <w:rFonts w:hint="eastAsia"/>
                <w:color w:val="auto"/>
                <w:sz w:val="24"/>
                <w:vertAlign w:val="subscript"/>
              </w:rPr>
              <w:t>net，ar</w:t>
            </w:r>
            <w:r>
              <w:rPr>
                <w:rFonts w:hint="eastAsia"/>
                <w:color w:val="auto"/>
                <w:sz w:val="24"/>
              </w:rPr>
              <w:t>为9860KJ/kg</w:t>
            </w:r>
          </w:p>
          <w:p>
            <w:pPr>
              <w:spacing w:line="360" w:lineRule="auto"/>
              <w:ind w:firstLine="480" w:firstLineChars="200"/>
              <w:rPr>
                <w:color w:val="auto"/>
                <w:sz w:val="24"/>
              </w:rPr>
            </w:pPr>
            <w:r>
              <w:rPr>
                <w:rFonts w:hint="eastAsia"/>
                <w:color w:val="auto"/>
                <w:sz w:val="24"/>
              </w:rPr>
              <w:t>灰渣</w:t>
            </w:r>
            <w:r>
              <w:rPr>
                <w:color w:val="auto"/>
                <w:sz w:val="24"/>
              </w:rPr>
              <w:t>产生量为</w:t>
            </w:r>
            <w:r>
              <w:rPr>
                <w:rFonts w:hint="eastAsia"/>
                <w:color w:val="auto"/>
                <w:sz w:val="24"/>
              </w:rPr>
              <w:t>549.6</w:t>
            </w:r>
            <w:r>
              <w:rPr>
                <w:color w:val="auto"/>
                <w:sz w:val="24"/>
              </w:rPr>
              <w:t>t/a，</w:t>
            </w:r>
            <w:r>
              <w:rPr>
                <w:rFonts w:hint="eastAsia"/>
                <w:color w:val="auto"/>
                <w:sz w:val="24"/>
              </w:rPr>
              <w:t>灰渣</w:t>
            </w:r>
            <w:r>
              <w:rPr>
                <w:rFonts w:hint="eastAsia" w:cs="宋体"/>
                <w:color w:val="auto"/>
                <w:sz w:val="24"/>
              </w:rPr>
              <w:t>锅炉</w:t>
            </w:r>
            <w:r>
              <w:rPr>
                <w:rFonts w:hint="eastAsia" w:cs="宋体"/>
                <w:bCs/>
                <w:color w:val="auto"/>
                <w:sz w:val="24"/>
              </w:rPr>
              <w:t>灰渣采用湿式除渣，存放于运输车内，采用苫布苫盖，及时清运，</w:t>
            </w:r>
            <w:r>
              <w:rPr>
                <w:color w:val="auto"/>
                <w:sz w:val="24"/>
              </w:rPr>
              <w:t>外售用于生产有机肥</w:t>
            </w:r>
            <w:r>
              <w:rPr>
                <w:rFonts w:hint="eastAsia"/>
                <w:color w:val="auto"/>
                <w:sz w:val="24"/>
              </w:rPr>
              <w:t>。</w:t>
            </w:r>
          </w:p>
          <w:p>
            <w:pPr>
              <w:spacing w:line="360" w:lineRule="auto"/>
              <w:ind w:left="480"/>
              <w:rPr>
                <w:rFonts w:hint="eastAsia" w:hAnsi="宋体"/>
                <w:bCs/>
                <w:color w:val="auto"/>
                <w:sz w:val="24"/>
              </w:rPr>
            </w:pPr>
            <w:r>
              <w:rPr>
                <w:rFonts w:hint="eastAsia"/>
                <w:color w:val="auto"/>
                <w:sz w:val="24"/>
              </w:rPr>
              <w:t>（5）</w:t>
            </w:r>
            <w:r>
              <w:rPr>
                <w:rFonts w:hint="eastAsia" w:hAnsi="宋体"/>
                <w:bCs/>
                <w:color w:val="auto"/>
                <w:sz w:val="24"/>
              </w:rPr>
              <w:t>布袋除尘器收集的除尘灰</w:t>
            </w:r>
          </w:p>
          <w:p>
            <w:pPr>
              <w:spacing w:line="360" w:lineRule="auto"/>
              <w:ind w:firstLine="480" w:firstLineChars="200"/>
              <w:rPr>
                <w:rFonts w:hint="eastAsia"/>
                <w:color w:val="auto"/>
                <w:sz w:val="24"/>
              </w:rPr>
            </w:pPr>
            <w:r>
              <w:rPr>
                <w:rFonts w:hint="eastAsia" w:hAnsi="宋体"/>
                <w:bCs/>
                <w:color w:val="auto"/>
                <w:sz w:val="24"/>
              </w:rPr>
              <w:t>布袋除尘器收集的除尘灰为193.4t/a，</w:t>
            </w:r>
            <w:r>
              <w:rPr>
                <w:rFonts w:hint="eastAsia"/>
                <w:color w:val="auto"/>
                <w:sz w:val="24"/>
              </w:rPr>
              <w:t>存放于运输车内，采用苫布苫盖，及时清运，</w:t>
            </w:r>
            <w:r>
              <w:rPr>
                <w:color w:val="auto"/>
                <w:sz w:val="24"/>
              </w:rPr>
              <w:t>外售用于生产有机肥</w:t>
            </w:r>
            <w:r>
              <w:rPr>
                <w:rFonts w:hint="eastAsia"/>
                <w:color w:val="auto"/>
                <w:sz w:val="24"/>
              </w:rPr>
              <w:t>。</w:t>
            </w:r>
          </w:p>
          <w:p>
            <w:pPr>
              <w:spacing w:line="360" w:lineRule="auto"/>
              <w:contextualSpacing/>
              <w:jc w:val="center"/>
              <w:rPr>
                <w:b/>
                <w:color w:val="auto"/>
                <w:sz w:val="24"/>
              </w:rPr>
            </w:pPr>
            <w:r>
              <w:rPr>
                <w:b/>
                <w:color w:val="auto"/>
                <w:sz w:val="24"/>
              </w:rPr>
              <w:t>表4-</w:t>
            </w:r>
            <w:r>
              <w:rPr>
                <w:rFonts w:hint="eastAsia"/>
                <w:b/>
                <w:color w:val="auto"/>
                <w:sz w:val="24"/>
              </w:rPr>
              <w:t>9</w:t>
            </w:r>
            <w:r>
              <w:rPr>
                <w:b/>
                <w:color w:val="auto"/>
                <w:sz w:val="24"/>
              </w:rPr>
              <w:t>固体废物产生情况表</w:t>
            </w:r>
          </w:p>
          <w:tbl>
            <w:tblPr>
              <w:tblStyle w:val="15"/>
              <w:tblW w:w="771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393"/>
              <w:gridCol w:w="903"/>
              <w:gridCol w:w="813"/>
              <w:gridCol w:w="744"/>
              <w:gridCol w:w="851"/>
              <w:gridCol w:w="753"/>
              <w:gridCol w:w="125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08" w:type="dxa"/>
                  <w:noWrap w:val="0"/>
                  <w:vAlign w:val="center"/>
                </w:tcPr>
                <w:p>
                  <w:pPr>
                    <w:autoSpaceDE w:val="0"/>
                    <w:autoSpaceDN w:val="0"/>
                    <w:contextualSpacing/>
                    <w:jc w:val="center"/>
                    <w:rPr>
                      <w:color w:val="auto"/>
                      <w:szCs w:val="21"/>
                    </w:rPr>
                  </w:pPr>
                  <w:r>
                    <w:rPr>
                      <w:color w:val="auto"/>
                      <w:szCs w:val="21"/>
                    </w:rPr>
                    <w:t>产生环节</w:t>
                  </w:r>
                </w:p>
              </w:tc>
              <w:tc>
                <w:tcPr>
                  <w:tcW w:w="1393" w:type="dxa"/>
                  <w:noWrap w:val="0"/>
                  <w:vAlign w:val="center"/>
                </w:tcPr>
                <w:p>
                  <w:pPr>
                    <w:autoSpaceDE w:val="0"/>
                    <w:autoSpaceDN w:val="0"/>
                    <w:contextualSpacing/>
                    <w:jc w:val="center"/>
                    <w:rPr>
                      <w:color w:val="auto"/>
                      <w:szCs w:val="21"/>
                    </w:rPr>
                  </w:pPr>
                  <w:r>
                    <w:rPr>
                      <w:color w:val="auto"/>
                      <w:szCs w:val="21"/>
                    </w:rPr>
                    <w:t>固体废物名称</w:t>
                  </w:r>
                </w:p>
              </w:tc>
              <w:tc>
                <w:tcPr>
                  <w:tcW w:w="903" w:type="dxa"/>
                  <w:noWrap w:val="0"/>
                  <w:vAlign w:val="center"/>
                </w:tcPr>
                <w:p>
                  <w:pPr>
                    <w:autoSpaceDE w:val="0"/>
                    <w:autoSpaceDN w:val="0"/>
                    <w:contextualSpacing/>
                    <w:jc w:val="center"/>
                    <w:rPr>
                      <w:color w:val="auto"/>
                      <w:szCs w:val="21"/>
                    </w:rPr>
                  </w:pPr>
                  <w:r>
                    <w:rPr>
                      <w:color w:val="auto"/>
                      <w:szCs w:val="21"/>
                    </w:rPr>
                    <w:t>固体废物属性</w:t>
                  </w:r>
                </w:p>
              </w:tc>
              <w:tc>
                <w:tcPr>
                  <w:tcW w:w="813" w:type="dxa"/>
                  <w:noWrap w:val="0"/>
                  <w:vAlign w:val="center"/>
                </w:tcPr>
                <w:p>
                  <w:pPr>
                    <w:contextualSpacing/>
                    <w:jc w:val="center"/>
                    <w:rPr>
                      <w:color w:val="auto"/>
                      <w:szCs w:val="21"/>
                    </w:rPr>
                  </w:pPr>
                  <w:r>
                    <w:rPr>
                      <w:color w:val="auto"/>
                      <w:szCs w:val="21"/>
                    </w:rPr>
                    <w:t>产生量t/a</w:t>
                  </w:r>
                </w:p>
              </w:tc>
              <w:tc>
                <w:tcPr>
                  <w:tcW w:w="744" w:type="dxa"/>
                  <w:noWrap w:val="0"/>
                  <w:vAlign w:val="center"/>
                </w:tcPr>
                <w:p>
                  <w:pPr>
                    <w:contextualSpacing/>
                    <w:jc w:val="center"/>
                    <w:rPr>
                      <w:color w:val="auto"/>
                      <w:szCs w:val="21"/>
                    </w:rPr>
                  </w:pPr>
                  <w:r>
                    <w:rPr>
                      <w:color w:val="auto"/>
                      <w:szCs w:val="21"/>
                    </w:rPr>
                    <w:t>物理性状</w:t>
                  </w:r>
                </w:p>
              </w:tc>
              <w:tc>
                <w:tcPr>
                  <w:tcW w:w="851" w:type="dxa"/>
                  <w:noWrap w:val="0"/>
                  <w:vAlign w:val="center"/>
                </w:tcPr>
                <w:p>
                  <w:pPr>
                    <w:contextualSpacing/>
                    <w:jc w:val="center"/>
                    <w:rPr>
                      <w:color w:val="auto"/>
                      <w:szCs w:val="21"/>
                    </w:rPr>
                  </w:pPr>
                  <w:r>
                    <w:rPr>
                      <w:color w:val="auto"/>
                      <w:szCs w:val="21"/>
                    </w:rPr>
                    <w:t>贮存方式</w:t>
                  </w:r>
                </w:p>
              </w:tc>
              <w:tc>
                <w:tcPr>
                  <w:tcW w:w="753" w:type="dxa"/>
                  <w:noWrap w:val="0"/>
                  <w:vAlign w:val="center"/>
                </w:tcPr>
                <w:p>
                  <w:pPr>
                    <w:autoSpaceDE w:val="0"/>
                    <w:autoSpaceDN w:val="0"/>
                    <w:contextualSpacing/>
                    <w:jc w:val="center"/>
                    <w:rPr>
                      <w:color w:val="auto"/>
                      <w:szCs w:val="21"/>
                    </w:rPr>
                  </w:pPr>
                  <w:r>
                    <w:rPr>
                      <w:color w:val="auto"/>
                      <w:szCs w:val="21"/>
                    </w:rPr>
                    <w:t>处置量t/a</w:t>
                  </w:r>
                </w:p>
              </w:tc>
              <w:tc>
                <w:tcPr>
                  <w:tcW w:w="1250" w:type="dxa"/>
                  <w:noWrap w:val="0"/>
                  <w:vAlign w:val="center"/>
                </w:tcPr>
                <w:p>
                  <w:pPr>
                    <w:autoSpaceDE w:val="0"/>
                    <w:autoSpaceDN w:val="0"/>
                    <w:contextualSpacing/>
                    <w:jc w:val="center"/>
                    <w:rPr>
                      <w:color w:val="auto"/>
                      <w:szCs w:val="21"/>
                    </w:rPr>
                  </w:pPr>
                  <w:r>
                    <w:rPr>
                      <w:color w:val="auto"/>
                      <w:szCs w:val="21"/>
                    </w:rPr>
                    <w:t>最终去向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008" w:type="dxa"/>
                  <w:noWrap w:val="0"/>
                  <w:vAlign w:val="center"/>
                </w:tcPr>
                <w:p>
                  <w:pPr>
                    <w:autoSpaceDE w:val="0"/>
                    <w:autoSpaceDN w:val="0"/>
                    <w:contextualSpacing/>
                    <w:jc w:val="center"/>
                    <w:rPr>
                      <w:rFonts w:hint="eastAsia" w:hAnsi="宋体"/>
                      <w:color w:val="auto"/>
                      <w:szCs w:val="21"/>
                    </w:rPr>
                  </w:pPr>
                  <w:r>
                    <w:rPr>
                      <w:rFonts w:hint="eastAsia" w:hAnsi="宋体"/>
                      <w:color w:val="auto"/>
                      <w:szCs w:val="21"/>
                    </w:rPr>
                    <w:t>员工生活</w:t>
                  </w:r>
                </w:p>
              </w:tc>
              <w:tc>
                <w:tcPr>
                  <w:tcW w:w="1393" w:type="dxa"/>
                  <w:noWrap w:val="0"/>
                  <w:vAlign w:val="center"/>
                </w:tcPr>
                <w:p>
                  <w:pPr>
                    <w:autoSpaceDE w:val="0"/>
                    <w:autoSpaceDN w:val="0"/>
                    <w:contextualSpacing/>
                    <w:jc w:val="center"/>
                    <w:rPr>
                      <w:rFonts w:hAnsi="宋体"/>
                      <w:color w:val="auto"/>
                      <w:szCs w:val="21"/>
                    </w:rPr>
                  </w:pPr>
                  <w:r>
                    <w:rPr>
                      <w:rFonts w:hint="eastAsia" w:hAnsi="宋体"/>
                      <w:color w:val="auto"/>
                      <w:szCs w:val="21"/>
                    </w:rPr>
                    <w:t>生活垃圾（SW64代码900-099-S64）</w:t>
                  </w:r>
                </w:p>
              </w:tc>
              <w:tc>
                <w:tcPr>
                  <w:tcW w:w="903" w:type="dxa"/>
                  <w:noWrap w:val="0"/>
                  <w:vAlign w:val="center"/>
                </w:tcPr>
                <w:p>
                  <w:pPr>
                    <w:autoSpaceDE w:val="0"/>
                    <w:autoSpaceDN w:val="0"/>
                    <w:contextualSpacing/>
                    <w:jc w:val="center"/>
                    <w:rPr>
                      <w:color w:val="auto"/>
                      <w:szCs w:val="21"/>
                    </w:rPr>
                  </w:pPr>
                  <w:r>
                    <w:rPr>
                      <w:color w:val="auto"/>
                      <w:szCs w:val="21"/>
                    </w:rPr>
                    <w:t>生活垃圾</w:t>
                  </w:r>
                </w:p>
              </w:tc>
              <w:tc>
                <w:tcPr>
                  <w:tcW w:w="813" w:type="dxa"/>
                  <w:noWrap w:val="0"/>
                  <w:vAlign w:val="center"/>
                </w:tcPr>
                <w:p>
                  <w:pPr>
                    <w:autoSpaceDE w:val="0"/>
                    <w:autoSpaceDN w:val="0"/>
                    <w:contextualSpacing/>
                    <w:jc w:val="center"/>
                    <w:rPr>
                      <w:rFonts w:hint="eastAsia" w:hAnsi="宋体"/>
                      <w:color w:val="auto"/>
                      <w:szCs w:val="21"/>
                    </w:rPr>
                  </w:pPr>
                  <w:r>
                    <w:rPr>
                      <w:rFonts w:hint="eastAsia" w:hAnsi="宋体"/>
                      <w:color w:val="auto"/>
                      <w:szCs w:val="21"/>
                    </w:rPr>
                    <w:t>0.29</w:t>
                  </w:r>
                </w:p>
              </w:tc>
              <w:tc>
                <w:tcPr>
                  <w:tcW w:w="744" w:type="dxa"/>
                  <w:noWrap w:val="0"/>
                  <w:vAlign w:val="center"/>
                </w:tcPr>
                <w:p>
                  <w:pPr>
                    <w:autoSpaceDE w:val="0"/>
                    <w:autoSpaceDN w:val="0"/>
                    <w:contextualSpacing/>
                    <w:jc w:val="center"/>
                    <w:rPr>
                      <w:color w:val="auto"/>
                      <w:szCs w:val="21"/>
                    </w:rPr>
                  </w:pPr>
                  <w:r>
                    <w:rPr>
                      <w:color w:val="auto"/>
                      <w:szCs w:val="21"/>
                    </w:rPr>
                    <w:t>固态</w:t>
                  </w:r>
                </w:p>
              </w:tc>
              <w:tc>
                <w:tcPr>
                  <w:tcW w:w="851" w:type="dxa"/>
                  <w:noWrap w:val="0"/>
                  <w:vAlign w:val="center"/>
                </w:tcPr>
                <w:p>
                  <w:pPr>
                    <w:autoSpaceDE w:val="0"/>
                    <w:autoSpaceDN w:val="0"/>
                    <w:contextualSpacing/>
                    <w:jc w:val="center"/>
                    <w:rPr>
                      <w:color w:val="auto"/>
                      <w:szCs w:val="21"/>
                    </w:rPr>
                  </w:pPr>
                  <w:r>
                    <w:rPr>
                      <w:rFonts w:hint="eastAsia"/>
                      <w:color w:val="auto"/>
                      <w:szCs w:val="21"/>
                    </w:rPr>
                    <w:t>垃圾箱</w:t>
                  </w:r>
                </w:p>
              </w:tc>
              <w:tc>
                <w:tcPr>
                  <w:tcW w:w="753" w:type="dxa"/>
                  <w:noWrap w:val="0"/>
                  <w:vAlign w:val="center"/>
                </w:tcPr>
                <w:p>
                  <w:pPr>
                    <w:autoSpaceDE w:val="0"/>
                    <w:autoSpaceDN w:val="0"/>
                    <w:contextualSpacing/>
                    <w:jc w:val="center"/>
                    <w:rPr>
                      <w:rFonts w:hint="eastAsia" w:hAnsi="宋体"/>
                      <w:color w:val="auto"/>
                      <w:szCs w:val="21"/>
                    </w:rPr>
                  </w:pPr>
                  <w:r>
                    <w:rPr>
                      <w:rFonts w:hint="eastAsia" w:hAnsi="宋体"/>
                      <w:color w:val="auto"/>
                      <w:szCs w:val="21"/>
                    </w:rPr>
                    <w:t>0.29</w:t>
                  </w:r>
                </w:p>
              </w:tc>
              <w:tc>
                <w:tcPr>
                  <w:tcW w:w="1250" w:type="dxa"/>
                  <w:noWrap w:val="0"/>
                  <w:vAlign w:val="center"/>
                </w:tcPr>
                <w:p>
                  <w:pPr>
                    <w:autoSpaceDE w:val="0"/>
                    <w:autoSpaceDN w:val="0"/>
                    <w:contextualSpacing/>
                    <w:jc w:val="center"/>
                    <w:rPr>
                      <w:rFonts w:hAnsi="宋体"/>
                      <w:color w:val="auto"/>
                      <w:szCs w:val="21"/>
                    </w:rPr>
                  </w:pPr>
                  <w:r>
                    <w:rPr>
                      <w:rFonts w:hAnsi="宋体"/>
                      <w:color w:val="auto"/>
                      <w:szCs w:val="21"/>
                    </w:rPr>
                    <w:t>交由市政部门统一处理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008" w:type="dxa"/>
                  <w:noWrap w:val="0"/>
                  <w:vAlign w:val="center"/>
                </w:tcPr>
                <w:p>
                  <w:pPr>
                    <w:autoSpaceDE w:val="0"/>
                    <w:autoSpaceDN w:val="0"/>
                    <w:contextualSpacing/>
                    <w:jc w:val="center"/>
                    <w:rPr>
                      <w:rFonts w:hAnsi="宋体"/>
                      <w:color w:val="auto"/>
                      <w:szCs w:val="21"/>
                    </w:rPr>
                  </w:pPr>
                  <w:r>
                    <w:rPr>
                      <w:rFonts w:hint="eastAsia" w:hAnsi="宋体"/>
                      <w:color w:val="auto"/>
                      <w:szCs w:val="21"/>
                    </w:rPr>
                    <w:t>软化水处理工艺</w:t>
                  </w:r>
                </w:p>
              </w:tc>
              <w:tc>
                <w:tcPr>
                  <w:tcW w:w="1393" w:type="dxa"/>
                  <w:noWrap w:val="0"/>
                  <w:vAlign w:val="center"/>
                </w:tcPr>
                <w:p>
                  <w:pPr>
                    <w:autoSpaceDE w:val="0"/>
                    <w:autoSpaceDN w:val="0"/>
                    <w:contextualSpacing/>
                    <w:jc w:val="center"/>
                    <w:rPr>
                      <w:rFonts w:hAnsi="宋体"/>
                      <w:color w:val="auto"/>
                      <w:szCs w:val="21"/>
                    </w:rPr>
                  </w:pPr>
                  <w:r>
                    <w:rPr>
                      <w:rFonts w:hAnsi="宋体"/>
                      <w:color w:val="auto"/>
                      <w:szCs w:val="21"/>
                    </w:rPr>
                    <w:t>锰砂废料</w:t>
                  </w:r>
                  <w:r>
                    <w:rPr>
                      <w:rFonts w:hint="eastAsia" w:hAnsi="宋体"/>
                      <w:color w:val="auto"/>
                      <w:szCs w:val="21"/>
                    </w:rPr>
                    <w:t>（SW59代码900-009-S59）</w:t>
                  </w:r>
                </w:p>
              </w:tc>
              <w:tc>
                <w:tcPr>
                  <w:tcW w:w="903" w:type="dxa"/>
                  <w:vMerge w:val="restart"/>
                  <w:noWrap w:val="0"/>
                  <w:vAlign w:val="center"/>
                </w:tcPr>
                <w:p>
                  <w:pPr>
                    <w:autoSpaceDE w:val="0"/>
                    <w:autoSpaceDN w:val="0"/>
                    <w:contextualSpacing/>
                    <w:jc w:val="center"/>
                    <w:rPr>
                      <w:color w:val="auto"/>
                      <w:szCs w:val="21"/>
                    </w:rPr>
                  </w:pPr>
                  <w:r>
                    <w:rPr>
                      <w:color w:val="auto"/>
                      <w:szCs w:val="21"/>
                    </w:rPr>
                    <w:t>一般工业固体废物</w:t>
                  </w:r>
                </w:p>
              </w:tc>
              <w:tc>
                <w:tcPr>
                  <w:tcW w:w="813" w:type="dxa"/>
                  <w:noWrap w:val="0"/>
                  <w:vAlign w:val="center"/>
                </w:tcPr>
                <w:p>
                  <w:pPr>
                    <w:autoSpaceDE w:val="0"/>
                    <w:autoSpaceDN w:val="0"/>
                    <w:contextualSpacing/>
                    <w:jc w:val="center"/>
                    <w:rPr>
                      <w:color w:val="auto"/>
                      <w:szCs w:val="21"/>
                    </w:rPr>
                  </w:pPr>
                  <w:r>
                    <w:rPr>
                      <w:rFonts w:hint="eastAsia" w:hAnsi="宋体"/>
                      <w:color w:val="auto"/>
                      <w:szCs w:val="21"/>
                    </w:rPr>
                    <w:t>0.2t/3a</w:t>
                  </w:r>
                </w:p>
              </w:tc>
              <w:tc>
                <w:tcPr>
                  <w:tcW w:w="744" w:type="dxa"/>
                  <w:noWrap w:val="0"/>
                  <w:vAlign w:val="center"/>
                </w:tcPr>
                <w:p>
                  <w:pPr>
                    <w:autoSpaceDE w:val="0"/>
                    <w:autoSpaceDN w:val="0"/>
                    <w:contextualSpacing/>
                    <w:jc w:val="center"/>
                    <w:rPr>
                      <w:color w:val="auto"/>
                      <w:szCs w:val="21"/>
                    </w:rPr>
                  </w:pPr>
                  <w:r>
                    <w:rPr>
                      <w:color w:val="auto"/>
                      <w:szCs w:val="21"/>
                    </w:rPr>
                    <w:t>固态</w:t>
                  </w:r>
                </w:p>
              </w:tc>
              <w:tc>
                <w:tcPr>
                  <w:tcW w:w="851" w:type="dxa"/>
                  <w:noWrap w:val="0"/>
                  <w:vAlign w:val="center"/>
                </w:tcPr>
                <w:p>
                  <w:pPr>
                    <w:autoSpaceDE w:val="0"/>
                    <w:autoSpaceDN w:val="0"/>
                    <w:contextualSpacing/>
                    <w:jc w:val="center"/>
                    <w:rPr>
                      <w:color w:val="auto"/>
                      <w:szCs w:val="21"/>
                    </w:rPr>
                  </w:pPr>
                  <w:r>
                    <w:rPr>
                      <w:color w:val="auto"/>
                      <w:szCs w:val="21"/>
                    </w:rPr>
                    <w:t>袋装</w:t>
                  </w:r>
                </w:p>
              </w:tc>
              <w:tc>
                <w:tcPr>
                  <w:tcW w:w="753" w:type="dxa"/>
                  <w:noWrap w:val="0"/>
                  <w:vAlign w:val="center"/>
                </w:tcPr>
                <w:p>
                  <w:pPr>
                    <w:autoSpaceDE w:val="0"/>
                    <w:autoSpaceDN w:val="0"/>
                    <w:contextualSpacing/>
                    <w:jc w:val="center"/>
                    <w:rPr>
                      <w:rFonts w:hAnsi="宋体"/>
                      <w:color w:val="auto"/>
                      <w:szCs w:val="21"/>
                    </w:rPr>
                  </w:pPr>
                  <w:r>
                    <w:rPr>
                      <w:rFonts w:hint="eastAsia" w:hAnsi="宋体"/>
                      <w:color w:val="auto"/>
                      <w:szCs w:val="21"/>
                    </w:rPr>
                    <w:t>0.2t/3a</w:t>
                  </w:r>
                </w:p>
              </w:tc>
              <w:tc>
                <w:tcPr>
                  <w:tcW w:w="1250" w:type="dxa"/>
                  <w:noWrap w:val="0"/>
                  <w:vAlign w:val="center"/>
                </w:tcPr>
                <w:p>
                  <w:pPr>
                    <w:autoSpaceDE w:val="0"/>
                    <w:autoSpaceDN w:val="0"/>
                    <w:contextualSpacing/>
                    <w:jc w:val="center"/>
                    <w:rPr>
                      <w:rFonts w:hAnsi="宋体"/>
                      <w:color w:val="auto"/>
                      <w:szCs w:val="21"/>
                    </w:rPr>
                  </w:pPr>
                  <w:r>
                    <w:rPr>
                      <w:rFonts w:hAnsi="宋体"/>
                      <w:color w:val="auto"/>
                      <w:szCs w:val="21"/>
                    </w:rPr>
                    <w:t>交由市政部门统一处理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008" w:type="dxa"/>
                  <w:noWrap w:val="0"/>
                  <w:vAlign w:val="center"/>
                </w:tcPr>
                <w:p>
                  <w:pPr>
                    <w:autoSpaceDE w:val="0"/>
                    <w:autoSpaceDN w:val="0"/>
                    <w:contextualSpacing/>
                    <w:jc w:val="center"/>
                    <w:rPr>
                      <w:color w:val="auto"/>
                      <w:szCs w:val="21"/>
                    </w:rPr>
                  </w:pPr>
                  <w:r>
                    <w:rPr>
                      <w:color w:val="auto"/>
                      <w:szCs w:val="21"/>
                    </w:rPr>
                    <w:t>废气治理</w:t>
                  </w:r>
                </w:p>
              </w:tc>
              <w:tc>
                <w:tcPr>
                  <w:tcW w:w="1393" w:type="dxa"/>
                  <w:noWrap w:val="0"/>
                  <w:vAlign w:val="center"/>
                </w:tcPr>
                <w:p>
                  <w:pPr>
                    <w:autoSpaceDE w:val="0"/>
                    <w:autoSpaceDN w:val="0"/>
                    <w:contextualSpacing/>
                    <w:jc w:val="center"/>
                    <w:rPr>
                      <w:rFonts w:hAnsi="宋体"/>
                      <w:color w:val="auto"/>
                      <w:szCs w:val="21"/>
                    </w:rPr>
                  </w:pPr>
                  <w:r>
                    <w:rPr>
                      <w:rFonts w:hAnsi="宋体"/>
                      <w:color w:val="auto"/>
                      <w:szCs w:val="21"/>
                    </w:rPr>
                    <w:t>废布袋</w:t>
                  </w:r>
                  <w:r>
                    <w:rPr>
                      <w:rFonts w:hint="eastAsia" w:hAnsi="宋体"/>
                      <w:color w:val="auto"/>
                      <w:szCs w:val="21"/>
                    </w:rPr>
                    <w:t>（SW59代码900-009-S59）</w:t>
                  </w:r>
                </w:p>
              </w:tc>
              <w:tc>
                <w:tcPr>
                  <w:tcW w:w="903" w:type="dxa"/>
                  <w:vMerge w:val="continue"/>
                  <w:noWrap w:val="0"/>
                  <w:vAlign w:val="center"/>
                </w:tcPr>
                <w:p>
                  <w:pPr>
                    <w:autoSpaceDE w:val="0"/>
                    <w:autoSpaceDN w:val="0"/>
                    <w:contextualSpacing/>
                    <w:jc w:val="center"/>
                    <w:rPr>
                      <w:color w:val="auto"/>
                      <w:szCs w:val="21"/>
                    </w:rPr>
                  </w:pPr>
                </w:p>
              </w:tc>
              <w:tc>
                <w:tcPr>
                  <w:tcW w:w="813" w:type="dxa"/>
                  <w:noWrap w:val="0"/>
                  <w:vAlign w:val="center"/>
                </w:tcPr>
                <w:p>
                  <w:pPr>
                    <w:autoSpaceDE w:val="0"/>
                    <w:autoSpaceDN w:val="0"/>
                    <w:contextualSpacing/>
                    <w:jc w:val="center"/>
                    <w:rPr>
                      <w:color w:val="auto"/>
                      <w:szCs w:val="21"/>
                    </w:rPr>
                  </w:pPr>
                  <w:r>
                    <w:rPr>
                      <w:rFonts w:hint="eastAsia"/>
                      <w:color w:val="auto"/>
                      <w:szCs w:val="21"/>
                    </w:rPr>
                    <w:t>0.5t/3a</w:t>
                  </w:r>
                </w:p>
              </w:tc>
              <w:tc>
                <w:tcPr>
                  <w:tcW w:w="744" w:type="dxa"/>
                  <w:noWrap w:val="0"/>
                  <w:vAlign w:val="center"/>
                </w:tcPr>
                <w:p>
                  <w:pPr>
                    <w:autoSpaceDE w:val="0"/>
                    <w:autoSpaceDN w:val="0"/>
                    <w:contextualSpacing/>
                    <w:jc w:val="center"/>
                    <w:rPr>
                      <w:color w:val="auto"/>
                      <w:szCs w:val="21"/>
                    </w:rPr>
                  </w:pPr>
                  <w:r>
                    <w:rPr>
                      <w:color w:val="auto"/>
                      <w:szCs w:val="21"/>
                    </w:rPr>
                    <w:t>固态</w:t>
                  </w:r>
                </w:p>
              </w:tc>
              <w:tc>
                <w:tcPr>
                  <w:tcW w:w="851" w:type="dxa"/>
                  <w:noWrap w:val="0"/>
                  <w:vAlign w:val="center"/>
                </w:tcPr>
                <w:p>
                  <w:pPr>
                    <w:autoSpaceDE w:val="0"/>
                    <w:autoSpaceDN w:val="0"/>
                    <w:contextualSpacing/>
                    <w:jc w:val="center"/>
                    <w:rPr>
                      <w:color w:val="auto"/>
                      <w:szCs w:val="21"/>
                    </w:rPr>
                  </w:pPr>
                  <w:r>
                    <w:rPr>
                      <w:color w:val="auto"/>
                      <w:szCs w:val="21"/>
                    </w:rPr>
                    <w:t>捆扎</w:t>
                  </w:r>
                </w:p>
              </w:tc>
              <w:tc>
                <w:tcPr>
                  <w:tcW w:w="753" w:type="dxa"/>
                  <w:noWrap w:val="0"/>
                  <w:vAlign w:val="center"/>
                </w:tcPr>
                <w:p>
                  <w:pPr>
                    <w:autoSpaceDE w:val="0"/>
                    <w:autoSpaceDN w:val="0"/>
                    <w:contextualSpacing/>
                    <w:jc w:val="center"/>
                    <w:rPr>
                      <w:color w:val="auto"/>
                      <w:szCs w:val="21"/>
                    </w:rPr>
                  </w:pPr>
                  <w:r>
                    <w:rPr>
                      <w:rFonts w:hint="eastAsia"/>
                      <w:color w:val="auto"/>
                      <w:szCs w:val="21"/>
                    </w:rPr>
                    <w:t>0.5t/3a</w:t>
                  </w:r>
                </w:p>
              </w:tc>
              <w:tc>
                <w:tcPr>
                  <w:tcW w:w="1250" w:type="dxa"/>
                  <w:noWrap w:val="0"/>
                  <w:vAlign w:val="center"/>
                </w:tcPr>
                <w:p>
                  <w:pPr>
                    <w:autoSpaceDE w:val="0"/>
                    <w:autoSpaceDN w:val="0"/>
                    <w:contextualSpacing/>
                    <w:jc w:val="center"/>
                    <w:rPr>
                      <w:color w:val="auto"/>
                      <w:szCs w:val="21"/>
                      <w:highlight w:val="yellow"/>
                    </w:rPr>
                  </w:pPr>
                  <w:r>
                    <w:rPr>
                      <w:rFonts w:hint="eastAsia"/>
                      <w:color w:val="auto"/>
                      <w:szCs w:val="21"/>
                    </w:rPr>
                    <w:t>由除尘器厂家更换后直接带走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1008" w:type="dxa"/>
                  <w:noWrap w:val="0"/>
                  <w:vAlign w:val="center"/>
                </w:tcPr>
                <w:p>
                  <w:pPr>
                    <w:autoSpaceDE w:val="0"/>
                    <w:autoSpaceDN w:val="0"/>
                    <w:contextualSpacing/>
                    <w:jc w:val="center"/>
                    <w:rPr>
                      <w:color w:val="auto"/>
                      <w:szCs w:val="21"/>
                    </w:rPr>
                  </w:pPr>
                  <w:r>
                    <w:rPr>
                      <w:color w:val="auto"/>
                      <w:szCs w:val="21"/>
                    </w:rPr>
                    <w:t>锅炉</w:t>
                  </w:r>
                </w:p>
              </w:tc>
              <w:tc>
                <w:tcPr>
                  <w:tcW w:w="1393" w:type="dxa"/>
                  <w:noWrap w:val="0"/>
                  <w:vAlign w:val="center"/>
                </w:tcPr>
                <w:p>
                  <w:pPr>
                    <w:autoSpaceDE w:val="0"/>
                    <w:autoSpaceDN w:val="0"/>
                    <w:contextualSpacing/>
                    <w:jc w:val="center"/>
                    <w:rPr>
                      <w:rFonts w:hAnsi="宋体"/>
                      <w:color w:val="auto"/>
                      <w:szCs w:val="21"/>
                    </w:rPr>
                  </w:pPr>
                  <w:r>
                    <w:rPr>
                      <w:rFonts w:hint="eastAsia" w:hAnsi="宋体"/>
                      <w:color w:val="auto"/>
                      <w:szCs w:val="21"/>
                    </w:rPr>
                    <w:t>锅炉灰渣（SW03代码900-099-S03）</w:t>
                  </w:r>
                </w:p>
              </w:tc>
              <w:tc>
                <w:tcPr>
                  <w:tcW w:w="903" w:type="dxa"/>
                  <w:vMerge w:val="continue"/>
                  <w:noWrap w:val="0"/>
                  <w:vAlign w:val="center"/>
                </w:tcPr>
                <w:p>
                  <w:pPr>
                    <w:autoSpaceDE w:val="0"/>
                    <w:autoSpaceDN w:val="0"/>
                    <w:contextualSpacing/>
                    <w:jc w:val="center"/>
                    <w:rPr>
                      <w:color w:val="auto"/>
                      <w:szCs w:val="21"/>
                    </w:rPr>
                  </w:pPr>
                </w:p>
              </w:tc>
              <w:tc>
                <w:tcPr>
                  <w:tcW w:w="813" w:type="dxa"/>
                  <w:noWrap w:val="0"/>
                  <w:vAlign w:val="center"/>
                </w:tcPr>
                <w:p>
                  <w:pPr>
                    <w:autoSpaceDE w:val="0"/>
                    <w:autoSpaceDN w:val="0"/>
                    <w:contextualSpacing/>
                    <w:jc w:val="center"/>
                    <w:rPr>
                      <w:color w:val="auto"/>
                      <w:szCs w:val="21"/>
                    </w:rPr>
                  </w:pPr>
                  <w:r>
                    <w:rPr>
                      <w:rFonts w:hint="eastAsia"/>
                      <w:color w:val="auto"/>
                      <w:szCs w:val="21"/>
                    </w:rPr>
                    <w:t>549.6</w:t>
                  </w:r>
                </w:p>
              </w:tc>
              <w:tc>
                <w:tcPr>
                  <w:tcW w:w="744" w:type="dxa"/>
                  <w:noWrap w:val="0"/>
                  <w:vAlign w:val="center"/>
                </w:tcPr>
                <w:p>
                  <w:pPr>
                    <w:autoSpaceDE w:val="0"/>
                    <w:autoSpaceDN w:val="0"/>
                    <w:contextualSpacing/>
                    <w:jc w:val="center"/>
                    <w:rPr>
                      <w:color w:val="auto"/>
                      <w:szCs w:val="21"/>
                    </w:rPr>
                  </w:pPr>
                  <w:r>
                    <w:rPr>
                      <w:color w:val="auto"/>
                      <w:szCs w:val="21"/>
                    </w:rPr>
                    <w:t>固态</w:t>
                  </w:r>
                </w:p>
              </w:tc>
              <w:tc>
                <w:tcPr>
                  <w:tcW w:w="851" w:type="dxa"/>
                  <w:noWrap w:val="0"/>
                  <w:vAlign w:val="center"/>
                </w:tcPr>
                <w:p>
                  <w:pPr>
                    <w:autoSpaceDE w:val="0"/>
                    <w:autoSpaceDN w:val="0"/>
                    <w:contextualSpacing/>
                    <w:jc w:val="center"/>
                    <w:rPr>
                      <w:color w:val="auto"/>
                      <w:szCs w:val="21"/>
                    </w:rPr>
                  </w:pPr>
                  <w:r>
                    <w:rPr>
                      <w:rFonts w:hint="eastAsia"/>
                      <w:color w:val="auto"/>
                      <w:szCs w:val="21"/>
                    </w:rPr>
                    <w:t>运输车</w:t>
                  </w:r>
                </w:p>
              </w:tc>
              <w:tc>
                <w:tcPr>
                  <w:tcW w:w="753" w:type="dxa"/>
                  <w:noWrap w:val="0"/>
                  <w:vAlign w:val="center"/>
                </w:tcPr>
                <w:p>
                  <w:pPr>
                    <w:autoSpaceDE w:val="0"/>
                    <w:autoSpaceDN w:val="0"/>
                    <w:contextualSpacing/>
                    <w:jc w:val="center"/>
                    <w:rPr>
                      <w:color w:val="auto"/>
                      <w:szCs w:val="21"/>
                    </w:rPr>
                  </w:pPr>
                  <w:r>
                    <w:rPr>
                      <w:rFonts w:hint="eastAsia"/>
                      <w:color w:val="auto"/>
                      <w:szCs w:val="21"/>
                    </w:rPr>
                    <w:t>549.6</w:t>
                  </w:r>
                </w:p>
              </w:tc>
              <w:tc>
                <w:tcPr>
                  <w:tcW w:w="1250" w:type="dxa"/>
                  <w:vMerge w:val="restart"/>
                  <w:noWrap w:val="0"/>
                  <w:vAlign w:val="center"/>
                </w:tcPr>
                <w:p>
                  <w:pPr>
                    <w:autoSpaceDE w:val="0"/>
                    <w:autoSpaceDN w:val="0"/>
                    <w:contextualSpacing/>
                    <w:jc w:val="center"/>
                    <w:rPr>
                      <w:color w:val="auto"/>
                      <w:szCs w:val="21"/>
                      <w:highlight w:val="yellow"/>
                    </w:rPr>
                  </w:pPr>
                  <w:r>
                    <w:rPr>
                      <w:color w:val="auto"/>
                      <w:szCs w:val="21"/>
                    </w:rPr>
                    <w:t>作为有机肥原料外售综合利用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1008" w:type="dxa"/>
                  <w:noWrap w:val="0"/>
                  <w:vAlign w:val="center"/>
                </w:tcPr>
                <w:p>
                  <w:pPr>
                    <w:autoSpaceDE w:val="0"/>
                    <w:autoSpaceDN w:val="0"/>
                    <w:contextualSpacing/>
                    <w:jc w:val="center"/>
                    <w:rPr>
                      <w:color w:val="auto"/>
                      <w:szCs w:val="21"/>
                    </w:rPr>
                  </w:pPr>
                  <w:r>
                    <w:rPr>
                      <w:color w:val="auto"/>
                      <w:szCs w:val="21"/>
                    </w:rPr>
                    <w:t>废气治理</w:t>
                  </w:r>
                </w:p>
              </w:tc>
              <w:tc>
                <w:tcPr>
                  <w:tcW w:w="1393" w:type="dxa"/>
                  <w:noWrap w:val="0"/>
                  <w:vAlign w:val="center"/>
                </w:tcPr>
                <w:p>
                  <w:pPr>
                    <w:autoSpaceDE w:val="0"/>
                    <w:autoSpaceDN w:val="0"/>
                    <w:contextualSpacing/>
                    <w:jc w:val="center"/>
                    <w:rPr>
                      <w:rFonts w:hint="eastAsia" w:hAnsi="宋体"/>
                      <w:color w:val="auto"/>
                      <w:szCs w:val="21"/>
                    </w:rPr>
                  </w:pPr>
                  <w:r>
                    <w:rPr>
                      <w:rFonts w:hint="eastAsia" w:hAnsi="宋体"/>
                      <w:bCs/>
                      <w:color w:val="auto"/>
                      <w:szCs w:val="21"/>
                    </w:rPr>
                    <w:t>布袋除尘器收集的除尘灰（SW59代码900-009-S59）</w:t>
                  </w:r>
                </w:p>
              </w:tc>
              <w:tc>
                <w:tcPr>
                  <w:tcW w:w="903" w:type="dxa"/>
                  <w:vMerge w:val="continue"/>
                  <w:noWrap w:val="0"/>
                  <w:vAlign w:val="center"/>
                </w:tcPr>
                <w:p>
                  <w:pPr>
                    <w:autoSpaceDE w:val="0"/>
                    <w:autoSpaceDN w:val="0"/>
                    <w:contextualSpacing/>
                    <w:jc w:val="center"/>
                    <w:rPr>
                      <w:color w:val="auto"/>
                      <w:szCs w:val="21"/>
                    </w:rPr>
                  </w:pPr>
                </w:p>
              </w:tc>
              <w:tc>
                <w:tcPr>
                  <w:tcW w:w="813" w:type="dxa"/>
                  <w:noWrap w:val="0"/>
                  <w:vAlign w:val="center"/>
                </w:tcPr>
                <w:p>
                  <w:pPr>
                    <w:autoSpaceDE w:val="0"/>
                    <w:autoSpaceDN w:val="0"/>
                    <w:contextualSpacing/>
                    <w:jc w:val="center"/>
                    <w:rPr>
                      <w:color w:val="auto"/>
                      <w:szCs w:val="21"/>
                    </w:rPr>
                  </w:pPr>
                  <w:r>
                    <w:rPr>
                      <w:rFonts w:hint="eastAsia"/>
                      <w:color w:val="auto"/>
                      <w:szCs w:val="21"/>
                    </w:rPr>
                    <w:t>193.4</w:t>
                  </w:r>
                </w:p>
              </w:tc>
              <w:tc>
                <w:tcPr>
                  <w:tcW w:w="744" w:type="dxa"/>
                  <w:noWrap w:val="0"/>
                  <w:vAlign w:val="center"/>
                </w:tcPr>
                <w:p>
                  <w:pPr>
                    <w:autoSpaceDE w:val="0"/>
                    <w:autoSpaceDN w:val="0"/>
                    <w:contextualSpacing/>
                    <w:jc w:val="center"/>
                    <w:rPr>
                      <w:color w:val="auto"/>
                      <w:szCs w:val="21"/>
                    </w:rPr>
                  </w:pPr>
                  <w:r>
                    <w:rPr>
                      <w:color w:val="auto"/>
                      <w:szCs w:val="21"/>
                    </w:rPr>
                    <w:t>固态</w:t>
                  </w:r>
                </w:p>
              </w:tc>
              <w:tc>
                <w:tcPr>
                  <w:tcW w:w="851" w:type="dxa"/>
                  <w:noWrap w:val="0"/>
                  <w:vAlign w:val="center"/>
                </w:tcPr>
                <w:p>
                  <w:pPr>
                    <w:autoSpaceDE w:val="0"/>
                    <w:autoSpaceDN w:val="0"/>
                    <w:contextualSpacing/>
                    <w:jc w:val="center"/>
                    <w:rPr>
                      <w:rFonts w:hint="eastAsia"/>
                      <w:color w:val="auto"/>
                      <w:szCs w:val="21"/>
                    </w:rPr>
                  </w:pPr>
                  <w:r>
                    <w:rPr>
                      <w:rFonts w:hint="eastAsia"/>
                      <w:color w:val="auto"/>
                      <w:szCs w:val="21"/>
                    </w:rPr>
                    <w:t>运输车</w:t>
                  </w:r>
                </w:p>
              </w:tc>
              <w:tc>
                <w:tcPr>
                  <w:tcW w:w="753" w:type="dxa"/>
                  <w:noWrap w:val="0"/>
                  <w:vAlign w:val="center"/>
                </w:tcPr>
                <w:p>
                  <w:pPr>
                    <w:autoSpaceDE w:val="0"/>
                    <w:autoSpaceDN w:val="0"/>
                    <w:contextualSpacing/>
                    <w:jc w:val="center"/>
                    <w:rPr>
                      <w:rFonts w:hint="eastAsia"/>
                      <w:color w:val="auto"/>
                      <w:szCs w:val="21"/>
                    </w:rPr>
                  </w:pPr>
                  <w:r>
                    <w:rPr>
                      <w:rFonts w:hint="eastAsia"/>
                      <w:color w:val="auto"/>
                      <w:szCs w:val="21"/>
                    </w:rPr>
                    <w:t>193.4</w:t>
                  </w:r>
                </w:p>
              </w:tc>
              <w:tc>
                <w:tcPr>
                  <w:tcW w:w="1250" w:type="dxa"/>
                  <w:vMerge w:val="continue"/>
                  <w:noWrap w:val="0"/>
                  <w:vAlign w:val="center"/>
                </w:tcPr>
                <w:p>
                  <w:pPr>
                    <w:autoSpaceDE w:val="0"/>
                    <w:autoSpaceDN w:val="0"/>
                    <w:contextualSpacing/>
                    <w:jc w:val="center"/>
                    <w:rPr>
                      <w:color w:val="auto"/>
                      <w:szCs w:val="21"/>
                    </w:rPr>
                  </w:pPr>
                </w:p>
              </w:tc>
            </w:tr>
          </w:tbl>
          <w:p>
            <w:pPr>
              <w:spacing w:line="360" w:lineRule="auto"/>
              <w:ind w:firstLine="482" w:firstLineChars="200"/>
              <w:contextualSpacing/>
              <w:rPr>
                <w:b/>
                <w:bCs/>
                <w:color w:val="auto"/>
                <w:sz w:val="24"/>
              </w:rPr>
            </w:pPr>
            <w:r>
              <w:rPr>
                <w:b/>
                <w:bCs/>
                <w:color w:val="auto"/>
                <w:sz w:val="24"/>
              </w:rPr>
              <w:t>2、环境管理要求</w:t>
            </w:r>
          </w:p>
          <w:p>
            <w:pPr>
              <w:spacing w:line="360" w:lineRule="auto"/>
              <w:ind w:firstLine="379" w:firstLineChars="158"/>
              <w:contextualSpacing/>
              <w:rPr>
                <w:color w:val="auto"/>
                <w:sz w:val="24"/>
              </w:rPr>
            </w:pPr>
            <w:r>
              <w:rPr>
                <w:color w:val="auto"/>
                <w:sz w:val="24"/>
              </w:rPr>
              <w:t>（1）一般工业固体废物</w:t>
            </w:r>
          </w:p>
          <w:p>
            <w:pPr>
              <w:spacing w:line="360" w:lineRule="auto"/>
              <w:ind w:firstLine="480" w:firstLineChars="200"/>
              <w:contextualSpacing/>
              <w:rPr>
                <w:color w:val="auto"/>
                <w:sz w:val="24"/>
              </w:rPr>
            </w:pPr>
            <w:r>
              <w:rPr>
                <w:color w:val="auto"/>
                <w:sz w:val="24"/>
              </w:rPr>
              <w:fldChar w:fldCharType="begin"/>
            </w:r>
            <w:r>
              <w:rPr>
                <w:color w:val="auto"/>
                <w:sz w:val="24"/>
              </w:rPr>
              <w:instrText xml:space="preserve"> = 1 \* GB3 </w:instrText>
            </w:r>
            <w:r>
              <w:rPr>
                <w:color w:val="auto"/>
                <w:sz w:val="24"/>
              </w:rPr>
              <w:fldChar w:fldCharType="separate"/>
            </w:r>
            <w:r>
              <w:rPr>
                <w:rFonts w:hint="eastAsia" w:ascii="宋体" w:hAnsi="宋体" w:cs="宋体"/>
                <w:color w:val="auto"/>
                <w:sz w:val="24"/>
              </w:rPr>
              <w:t>①</w:t>
            </w:r>
            <w:r>
              <w:rPr>
                <w:color w:val="auto"/>
                <w:sz w:val="24"/>
              </w:rPr>
              <w:fldChar w:fldCharType="end"/>
            </w:r>
            <w:r>
              <w:rPr>
                <w:color w:val="auto"/>
                <w:sz w:val="24"/>
              </w:rPr>
              <w:t>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pPr>
              <w:spacing w:line="360" w:lineRule="auto"/>
              <w:ind w:firstLine="480" w:firstLineChars="200"/>
              <w:contextualSpacing/>
              <w:rPr>
                <w:color w:val="auto"/>
                <w:sz w:val="24"/>
              </w:rPr>
            </w:pPr>
            <w:r>
              <w:rPr>
                <w:color w:val="auto"/>
                <w:sz w:val="24"/>
              </w:rPr>
              <w:fldChar w:fldCharType="begin"/>
            </w:r>
            <w:r>
              <w:rPr>
                <w:color w:val="auto"/>
                <w:sz w:val="24"/>
              </w:rPr>
              <w:instrText xml:space="preserve"> = 2 \* GB3 </w:instrText>
            </w:r>
            <w:r>
              <w:rPr>
                <w:color w:val="auto"/>
                <w:sz w:val="24"/>
              </w:rPr>
              <w:fldChar w:fldCharType="separate"/>
            </w:r>
            <w:r>
              <w:rPr>
                <w:rFonts w:hint="eastAsia" w:ascii="宋体" w:hAnsi="宋体" w:cs="宋体"/>
                <w:color w:val="auto"/>
                <w:sz w:val="24"/>
              </w:rPr>
              <w:t>②</w:t>
            </w:r>
            <w:r>
              <w:rPr>
                <w:color w:val="auto"/>
                <w:sz w:val="24"/>
              </w:rPr>
              <w:fldChar w:fldCharType="end"/>
            </w:r>
            <w:r>
              <w:rPr>
                <w:color w:val="auto"/>
                <w:sz w:val="24"/>
              </w:rPr>
              <w:t>禁止向生活垃圾收集设施中投放工业固体废物。</w:t>
            </w:r>
          </w:p>
          <w:p>
            <w:pPr>
              <w:autoSpaceDE w:val="0"/>
              <w:autoSpaceDN w:val="0"/>
              <w:spacing w:line="360" w:lineRule="auto"/>
              <w:ind w:firstLine="480" w:firstLineChars="200"/>
              <w:contextualSpacing/>
              <w:rPr>
                <w:rFonts w:hint="eastAsia"/>
                <w:bCs/>
                <w:color w:val="auto"/>
                <w:sz w:val="24"/>
              </w:rPr>
            </w:pPr>
            <w:r>
              <w:rPr>
                <w:color w:val="auto"/>
                <w:sz w:val="24"/>
              </w:rPr>
              <w:fldChar w:fldCharType="begin"/>
            </w:r>
            <w:r>
              <w:rPr>
                <w:color w:val="auto"/>
                <w:sz w:val="24"/>
              </w:rPr>
              <w:instrText xml:space="preserve"> = 3 \* GB3 </w:instrText>
            </w:r>
            <w:r>
              <w:rPr>
                <w:color w:val="auto"/>
                <w:sz w:val="24"/>
              </w:rPr>
              <w:fldChar w:fldCharType="separate"/>
            </w:r>
            <w:r>
              <w:rPr>
                <w:rFonts w:hint="eastAsia" w:ascii="宋体" w:hAnsi="宋体" w:cs="宋体"/>
                <w:color w:val="auto"/>
                <w:sz w:val="24"/>
              </w:rPr>
              <w:t>③</w:t>
            </w:r>
            <w:r>
              <w:rPr>
                <w:color w:val="auto"/>
                <w:sz w:val="24"/>
              </w:rPr>
              <w:fldChar w:fldCharType="end"/>
            </w:r>
            <w:r>
              <w:rPr>
                <w:color w:val="auto"/>
                <w:sz w:val="24"/>
              </w:rPr>
              <w:t>产生工业固体废物的单位委托他人运输、利用、处置工业固体废物的，应当对受托方的主体资格和技术能力进行核实，依法签订书面合同，在合同中约定污染防治要求。受托方运输、利用、处置工业固体废物，应当依照有关法律法规的规定和合同约定履行污染防治要求，并将运输、利用、处置情况告知产生工业固体废物的单位</w:t>
            </w:r>
            <w:r>
              <w:rPr>
                <w:bCs/>
                <w:color w:val="auto"/>
                <w:sz w:val="24"/>
              </w:rPr>
              <w:t>。</w:t>
            </w:r>
          </w:p>
          <w:p>
            <w:pPr>
              <w:spacing w:line="360" w:lineRule="auto"/>
              <w:ind w:firstLine="480" w:firstLineChars="200"/>
              <w:contextualSpacing/>
              <w:rPr>
                <w:color w:val="auto"/>
                <w:sz w:val="24"/>
                <w:szCs w:val="22"/>
              </w:rPr>
            </w:pPr>
            <w:r>
              <w:rPr>
                <w:color w:val="auto"/>
                <w:sz w:val="24"/>
                <w:szCs w:val="22"/>
              </w:rPr>
              <w:t>（</w:t>
            </w:r>
            <w:r>
              <w:rPr>
                <w:rFonts w:hint="eastAsia"/>
                <w:color w:val="auto"/>
                <w:sz w:val="24"/>
                <w:szCs w:val="22"/>
              </w:rPr>
              <w:t>2</w:t>
            </w:r>
            <w:r>
              <w:rPr>
                <w:color w:val="auto"/>
                <w:sz w:val="24"/>
                <w:szCs w:val="22"/>
              </w:rPr>
              <w:t>）生活垃圾</w:t>
            </w:r>
          </w:p>
          <w:p>
            <w:pPr>
              <w:spacing w:line="360" w:lineRule="auto"/>
              <w:ind w:firstLine="480" w:firstLineChars="200"/>
              <w:contextualSpacing/>
              <w:rPr>
                <w:color w:val="auto"/>
                <w:sz w:val="24"/>
                <w:szCs w:val="22"/>
              </w:rPr>
            </w:pPr>
            <w:r>
              <w:rPr>
                <w:color w:val="auto"/>
                <w:sz w:val="24"/>
                <w:szCs w:val="22"/>
              </w:rPr>
              <w:fldChar w:fldCharType="begin"/>
            </w:r>
            <w:r>
              <w:rPr>
                <w:color w:val="auto"/>
                <w:sz w:val="24"/>
                <w:szCs w:val="22"/>
              </w:rPr>
              <w:instrText xml:space="preserve"> = 1 \* GB3 </w:instrText>
            </w:r>
            <w:r>
              <w:rPr>
                <w:color w:val="auto"/>
                <w:sz w:val="24"/>
                <w:szCs w:val="22"/>
              </w:rPr>
              <w:fldChar w:fldCharType="separate"/>
            </w:r>
            <w:r>
              <w:rPr>
                <w:rFonts w:ascii="宋体"/>
                <w:color w:val="auto"/>
                <w:sz w:val="24"/>
                <w:szCs w:val="22"/>
              </w:rPr>
              <w:t>①</w:t>
            </w:r>
            <w:r>
              <w:rPr>
                <w:color w:val="auto"/>
                <w:sz w:val="24"/>
                <w:szCs w:val="22"/>
              </w:rPr>
              <w:fldChar w:fldCharType="end"/>
            </w:r>
            <w:r>
              <w:rPr>
                <w:color w:val="auto"/>
                <w:sz w:val="24"/>
                <w:szCs w:val="22"/>
              </w:rPr>
              <w:t>任何单位和个人都应当依法在指定的地点分类投放生活垃圾。禁止随意倾倒、抛撒、堆放或者焚烧生活垃圾。</w:t>
            </w:r>
          </w:p>
          <w:p>
            <w:pPr>
              <w:autoSpaceDE w:val="0"/>
              <w:autoSpaceDN w:val="0"/>
              <w:spacing w:line="360" w:lineRule="auto"/>
              <w:ind w:firstLine="480" w:firstLineChars="200"/>
              <w:contextualSpacing/>
              <w:rPr>
                <w:bCs/>
                <w:color w:val="auto"/>
                <w:sz w:val="24"/>
              </w:rPr>
            </w:pPr>
            <w:r>
              <w:rPr>
                <w:color w:val="auto"/>
                <w:sz w:val="24"/>
                <w:szCs w:val="22"/>
              </w:rPr>
              <w:fldChar w:fldCharType="begin"/>
            </w:r>
            <w:r>
              <w:rPr>
                <w:color w:val="auto"/>
                <w:sz w:val="24"/>
                <w:szCs w:val="22"/>
              </w:rPr>
              <w:instrText xml:space="preserve"> = 2 \* GB3 </w:instrText>
            </w:r>
            <w:r>
              <w:rPr>
                <w:color w:val="auto"/>
                <w:sz w:val="24"/>
                <w:szCs w:val="22"/>
              </w:rPr>
              <w:fldChar w:fldCharType="separate"/>
            </w:r>
            <w:r>
              <w:rPr>
                <w:rFonts w:ascii="宋体"/>
                <w:color w:val="auto"/>
                <w:sz w:val="24"/>
                <w:szCs w:val="22"/>
              </w:rPr>
              <w:t>②</w:t>
            </w:r>
            <w:r>
              <w:rPr>
                <w:color w:val="auto"/>
                <w:sz w:val="24"/>
                <w:szCs w:val="22"/>
              </w:rPr>
              <w:fldChar w:fldCharType="end"/>
            </w:r>
            <w:r>
              <w:rPr>
                <w:color w:val="auto"/>
                <w:sz w:val="24"/>
                <w:szCs w:val="22"/>
              </w:rPr>
              <w:t>已经分类投放的生活垃圾，应当按照规定分类收集、分类运输、分类处理。</w:t>
            </w:r>
          </w:p>
          <w:p>
            <w:pPr>
              <w:spacing w:line="360" w:lineRule="auto"/>
              <w:ind w:firstLine="480" w:firstLineChars="200"/>
              <w:contextualSpacing/>
              <w:rPr>
                <w:color w:val="auto"/>
                <w:sz w:val="24"/>
              </w:rPr>
            </w:pPr>
            <w:r>
              <w:rPr>
                <w:color w:val="auto"/>
                <w:sz w:val="24"/>
              </w:rPr>
              <w:t>综上所述，本项目产生的固体废物经过妥善处理后，处置率达到100%不会</w:t>
            </w:r>
            <w:r>
              <w:rPr>
                <w:rFonts w:hint="eastAsia"/>
                <w:color w:val="auto"/>
                <w:sz w:val="24"/>
              </w:rPr>
              <w:t>造成二次污染</w:t>
            </w:r>
            <w:r>
              <w:rPr>
                <w:color w:val="auto"/>
                <w:sz w:val="24"/>
              </w:rPr>
              <w:t>。</w:t>
            </w:r>
          </w:p>
          <w:p>
            <w:pPr>
              <w:spacing w:line="360" w:lineRule="auto"/>
              <w:ind w:firstLine="482" w:firstLineChars="200"/>
              <w:contextualSpacing/>
              <w:rPr>
                <w:b/>
                <w:bCs/>
                <w:color w:val="auto"/>
                <w:sz w:val="24"/>
              </w:rPr>
            </w:pPr>
            <w:r>
              <w:rPr>
                <w:b/>
                <w:bCs/>
                <w:color w:val="auto"/>
                <w:sz w:val="24"/>
              </w:rPr>
              <w:t>（五）地下水、土壤</w:t>
            </w:r>
          </w:p>
          <w:p>
            <w:pPr>
              <w:autoSpaceDE w:val="0"/>
              <w:autoSpaceDN w:val="0"/>
              <w:spacing w:line="360" w:lineRule="auto"/>
              <w:ind w:firstLine="480" w:firstLineChars="200"/>
              <w:contextualSpacing/>
              <w:rPr>
                <w:color w:val="auto"/>
                <w:sz w:val="24"/>
              </w:rPr>
            </w:pPr>
            <w:r>
              <w:rPr>
                <w:color w:val="auto"/>
                <w:sz w:val="24"/>
              </w:rPr>
              <w:t>本项目</w:t>
            </w:r>
            <w:r>
              <w:rPr>
                <w:rFonts w:hint="eastAsia"/>
                <w:color w:val="auto"/>
                <w:sz w:val="24"/>
              </w:rPr>
              <w:t>为热力生产和供应项目</w:t>
            </w:r>
            <w:r>
              <w:rPr>
                <w:color w:val="auto"/>
                <w:sz w:val="24"/>
              </w:rPr>
              <w:t>，</w:t>
            </w:r>
            <w:r>
              <w:rPr>
                <w:rFonts w:hint="eastAsia"/>
                <w:color w:val="auto"/>
                <w:sz w:val="24"/>
              </w:rPr>
              <w:t>不涉及土壤污染物，</w:t>
            </w:r>
            <w:r>
              <w:rPr>
                <w:color w:val="auto"/>
                <w:sz w:val="24"/>
              </w:rPr>
              <w:t>不存在地下水污染途径，因此</w:t>
            </w:r>
            <w:r>
              <w:rPr>
                <w:bCs/>
                <w:color w:val="auto"/>
                <w:sz w:val="24"/>
              </w:rPr>
              <w:t>对地下水、土壤影响无影响</w:t>
            </w:r>
            <w:r>
              <w:rPr>
                <w:color w:val="auto"/>
                <w:sz w:val="24"/>
              </w:rPr>
              <w:t>。</w:t>
            </w:r>
          </w:p>
          <w:p>
            <w:pPr>
              <w:spacing w:line="360" w:lineRule="auto"/>
              <w:ind w:firstLine="482" w:firstLineChars="200"/>
              <w:contextualSpacing/>
              <w:rPr>
                <w:b/>
                <w:bCs/>
                <w:color w:val="auto"/>
                <w:sz w:val="24"/>
              </w:rPr>
            </w:pPr>
            <w:r>
              <w:rPr>
                <w:b/>
                <w:bCs/>
                <w:color w:val="auto"/>
                <w:sz w:val="24"/>
              </w:rPr>
              <w:t>（六）生态环境</w:t>
            </w:r>
          </w:p>
          <w:p>
            <w:pPr>
              <w:spacing w:line="360" w:lineRule="auto"/>
              <w:ind w:firstLine="480" w:firstLineChars="200"/>
              <w:contextualSpacing/>
              <w:jc w:val="left"/>
              <w:rPr>
                <w:color w:val="auto"/>
                <w:kern w:val="0"/>
                <w:sz w:val="24"/>
              </w:rPr>
            </w:pPr>
            <w:r>
              <w:rPr>
                <w:color w:val="auto"/>
                <w:kern w:val="0"/>
                <w:sz w:val="24"/>
              </w:rPr>
              <w:t>用地范围内无生态环境保护目标，不会对周边生态环境造成影响。</w:t>
            </w:r>
          </w:p>
          <w:p>
            <w:pPr>
              <w:spacing w:line="360" w:lineRule="auto"/>
              <w:ind w:firstLine="472" w:firstLineChars="196"/>
              <w:rPr>
                <w:b/>
                <w:bCs/>
                <w:color w:val="auto"/>
                <w:sz w:val="24"/>
              </w:rPr>
            </w:pPr>
            <w:r>
              <w:rPr>
                <w:b/>
                <w:bCs/>
                <w:color w:val="auto"/>
                <w:sz w:val="24"/>
              </w:rPr>
              <w:t>（七）环境风险</w:t>
            </w:r>
          </w:p>
          <w:p>
            <w:pPr>
              <w:pStyle w:val="4"/>
              <w:snapToGrid/>
              <w:spacing w:before="0" w:after="0" w:line="360" w:lineRule="auto"/>
              <w:ind w:right="0" w:firstLine="480" w:firstLineChars="200"/>
              <w:rPr>
                <w:bCs/>
                <w:color w:val="auto"/>
                <w:sz w:val="24"/>
                <w:szCs w:val="24"/>
                <w:lang w:val="en-US" w:eastAsia="zh-CN"/>
              </w:rPr>
            </w:pPr>
            <w:r>
              <w:rPr>
                <w:bCs/>
                <w:color w:val="auto"/>
                <w:sz w:val="24"/>
                <w:szCs w:val="24"/>
                <w:lang w:val="en-US" w:eastAsia="zh-CN"/>
              </w:rPr>
              <w:t>根据《</w:t>
            </w:r>
            <w:r>
              <w:rPr>
                <w:color w:val="auto"/>
                <w:sz w:val="24"/>
                <w:szCs w:val="24"/>
                <w:lang w:val="en-US" w:eastAsia="zh-CN"/>
              </w:rPr>
              <w:t>建设</w:t>
            </w:r>
            <w:r>
              <w:rPr>
                <w:bCs/>
                <w:color w:val="auto"/>
                <w:sz w:val="24"/>
                <w:szCs w:val="24"/>
                <w:lang w:val="en-US" w:eastAsia="zh-CN"/>
              </w:rPr>
              <w:t>项目环境风险评价技术导则》（HJ169-2018）附录B，本项目不涉及风险物质。</w:t>
            </w:r>
          </w:p>
          <w:p>
            <w:pPr>
              <w:rPr>
                <w:bCs/>
                <w:color w:val="auto"/>
                <w:sz w:val="24"/>
              </w:rPr>
            </w:pPr>
          </w:p>
          <w:p>
            <w:pPr>
              <w:rPr>
                <w:bCs/>
                <w:color w:val="auto"/>
                <w:sz w:val="24"/>
              </w:rPr>
            </w:pPr>
          </w:p>
          <w:p>
            <w:pPr>
              <w:rPr>
                <w:bCs/>
                <w:color w:val="auto"/>
                <w:sz w:val="24"/>
              </w:rPr>
            </w:pPr>
          </w:p>
          <w:p>
            <w:pPr>
              <w:rPr>
                <w:bCs/>
                <w:color w:val="auto"/>
                <w:sz w:val="24"/>
              </w:rPr>
            </w:pPr>
          </w:p>
          <w:p>
            <w:pPr>
              <w:rPr>
                <w:bCs/>
                <w:color w:val="auto"/>
                <w:sz w:val="24"/>
              </w:rPr>
            </w:pPr>
          </w:p>
          <w:p>
            <w:pPr>
              <w:rPr>
                <w:rFonts w:hint="eastAsia"/>
                <w:bCs/>
                <w:color w:val="auto"/>
                <w:sz w:val="24"/>
              </w:rPr>
            </w:pPr>
          </w:p>
          <w:p>
            <w:pPr>
              <w:rPr>
                <w:rFonts w:hint="eastAsia"/>
                <w:bCs/>
                <w:color w:val="auto"/>
                <w:sz w:val="24"/>
              </w:rPr>
            </w:pPr>
          </w:p>
          <w:p>
            <w:pPr>
              <w:rPr>
                <w:rFonts w:hint="eastAsia"/>
                <w:bCs/>
                <w:color w:val="auto"/>
                <w:sz w:val="24"/>
              </w:rPr>
            </w:pPr>
          </w:p>
          <w:p>
            <w:pPr>
              <w:rPr>
                <w:rFonts w:hint="eastAsia"/>
                <w:bCs/>
                <w:color w:val="auto"/>
                <w:sz w:val="24"/>
              </w:rPr>
            </w:pPr>
          </w:p>
          <w:p>
            <w:pPr>
              <w:rPr>
                <w:rFonts w:hint="eastAsia"/>
                <w:bCs/>
                <w:color w:val="auto"/>
                <w:sz w:val="24"/>
              </w:rPr>
            </w:pPr>
          </w:p>
          <w:p>
            <w:pPr>
              <w:rPr>
                <w:rFonts w:hint="eastAsia"/>
                <w:bCs/>
                <w:color w:val="auto"/>
                <w:sz w:val="24"/>
              </w:rPr>
            </w:pPr>
          </w:p>
          <w:p>
            <w:pPr>
              <w:rPr>
                <w:rFonts w:hint="eastAsia"/>
                <w:bCs/>
                <w:color w:val="auto"/>
                <w:sz w:val="24"/>
              </w:rPr>
            </w:pPr>
          </w:p>
          <w:p>
            <w:pPr>
              <w:rPr>
                <w:rFonts w:hint="eastAsia"/>
                <w:bCs/>
                <w:color w:val="auto"/>
                <w:sz w:val="24"/>
              </w:rPr>
            </w:pPr>
          </w:p>
          <w:p>
            <w:pPr>
              <w:rPr>
                <w:rFonts w:hint="eastAsia"/>
                <w:bCs/>
                <w:color w:val="auto"/>
                <w:sz w:val="24"/>
              </w:rPr>
            </w:pPr>
          </w:p>
          <w:p>
            <w:pPr>
              <w:rPr>
                <w:rFonts w:hint="eastAsia"/>
                <w:bCs/>
                <w:color w:val="auto"/>
                <w:sz w:val="24"/>
              </w:rPr>
            </w:pPr>
          </w:p>
          <w:p>
            <w:pPr>
              <w:rPr>
                <w:rFonts w:hint="eastAsia"/>
                <w:bCs/>
                <w:color w:val="auto"/>
                <w:sz w:val="24"/>
              </w:rPr>
            </w:pPr>
          </w:p>
          <w:p>
            <w:pPr>
              <w:rPr>
                <w:rFonts w:hint="eastAsia"/>
                <w:bCs/>
                <w:color w:val="auto"/>
                <w:sz w:val="24"/>
              </w:rPr>
            </w:pPr>
          </w:p>
          <w:p>
            <w:pPr>
              <w:rPr>
                <w:rFonts w:hint="eastAsia"/>
                <w:bCs/>
                <w:color w:val="auto"/>
                <w:sz w:val="24"/>
              </w:rPr>
            </w:pPr>
          </w:p>
          <w:p>
            <w:pPr>
              <w:rPr>
                <w:rFonts w:hint="eastAsia"/>
                <w:bCs/>
                <w:color w:val="auto"/>
                <w:sz w:val="24"/>
              </w:rPr>
            </w:pPr>
          </w:p>
        </w:tc>
      </w:tr>
      <w:bookmarkEnd w:id="12"/>
      <w:bookmarkEnd w:id="13"/>
    </w:tbl>
    <w:p>
      <w:pPr>
        <w:adjustRightInd w:val="0"/>
        <w:snapToGrid w:val="0"/>
        <w:spacing w:line="360" w:lineRule="auto"/>
        <w:rPr>
          <w:b/>
          <w:color w:val="auto"/>
          <w:kern w:val="0"/>
          <w:sz w:val="28"/>
          <w:szCs w:val="28"/>
        </w:rPr>
        <w:sectPr>
          <w:pgSz w:w="11907" w:h="16840"/>
          <w:pgMar w:top="1701" w:right="1531" w:bottom="2127" w:left="1531" w:header="851" w:footer="851" w:gutter="0"/>
          <w:cols w:space="720" w:num="1"/>
          <w:docGrid w:linePitch="312" w:charSpace="0"/>
        </w:sectPr>
      </w:pPr>
    </w:p>
    <w:p>
      <w:pPr>
        <w:pStyle w:val="12"/>
        <w:jc w:val="center"/>
        <w:outlineLvl w:val="0"/>
        <w:rPr>
          <w:rFonts w:ascii="Times New Roman" w:hAnsi="Times New Roman"/>
          <w:snapToGrid w:val="0"/>
          <w:color w:val="auto"/>
          <w:sz w:val="30"/>
          <w:szCs w:val="30"/>
        </w:rPr>
      </w:pPr>
      <w:bookmarkStart w:id="16" w:name="_Toc152227244"/>
      <w:r>
        <w:rPr>
          <w:rFonts w:ascii="Times New Roman" w:hAnsi="Times New Roman"/>
          <w:snapToGrid w:val="0"/>
          <w:color w:val="auto"/>
          <w:sz w:val="30"/>
          <w:szCs w:val="30"/>
        </w:rPr>
        <w:t>五、</w:t>
      </w:r>
      <w:bookmarkStart w:id="17" w:name="_Hlk54167917"/>
      <w:r>
        <w:rPr>
          <w:rFonts w:ascii="Times New Roman" w:hAnsi="Times New Roman"/>
          <w:snapToGrid w:val="0"/>
          <w:color w:val="auto"/>
          <w:sz w:val="30"/>
          <w:szCs w:val="30"/>
        </w:rPr>
        <w:t>环境保护措施监督检查清单</w:t>
      </w:r>
      <w:bookmarkEnd w:id="16"/>
      <w:bookmarkEnd w:id="17"/>
    </w:p>
    <w:tbl>
      <w:tblPr>
        <w:tblStyle w:val="1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611"/>
        <w:gridCol w:w="1722"/>
        <w:gridCol w:w="2161"/>
        <w:gridCol w:w="20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15" w:type="dxa"/>
            <w:tcBorders>
              <w:tl2br w:val="single" w:color="auto" w:sz="4" w:space="0"/>
            </w:tcBorders>
            <w:noWrap w:val="0"/>
            <w:vAlign w:val="top"/>
          </w:tcPr>
          <w:p>
            <w:pPr>
              <w:adjustRightInd w:val="0"/>
              <w:snapToGrid w:val="0"/>
              <w:ind w:firstLine="480" w:firstLineChars="200"/>
              <w:rPr>
                <w:color w:val="auto"/>
                <w:sz w:val="24"/>
              </w:rPr>
            </w:pPr>
            <w:r>
              <w:rPr>
                <w:color w:val="auto"/>
                <w:sz w:val="24"/>
              </w:rPr>
              <w:t>内容</w:t>
            </w:r>
          </w:p>
          <w:p>
            <w:pPr>
              <w:adjustRightInd w:val="0"/>
              <w:snapToGrid w:val="0"/>
              <w:rPr>
                <w:color w:val="auto"/>
                <w:sz w:val="24"/>
              </w:rPr>
            </w:pPr>
          </w:p>
          <w:p>
            <w:pPr>
              <w:adjustRightInd w:val="0"/>
              <w:snapToGrid w:val="0"/>
              <w:rPr>
                <w:color w:val="auto"/>
                <w:sz w:val="24"/>
              </w:rPr>
            </w:pPr>
            <w:r>
              <w:rPr>
                <w:color w:val="auto"/>
                <w:sz w:val="24"/>
              </w:rPr>
              <w:t>要素</w:t>
            </w:r>
          </w:p>
        </w:tc>
        <w:tc>
          <w:tcPr>
            <w:tcW w:w="1611" w:type="dxa"/>
            <w:noWrap w:val="0"/>
            <w:vAlign w:val="center"/>
          </w:tcPr>
          <w:p>
            <w:pPr>
              <w:adjustRightInd w:val="0"/>
              <w:snapToGrid w:val="0"/>
              <w:jc w:val="center"/>
              <w:rPr>
                <w:color w:val="auto"/>
                <w:sz w:val="24"/>
              </w:rPr>
            </w:pPr>
            <w:r>
              <w:rPr>
                <w:color w:val="auto"/>
                <w:sz w:val="24"/>
              </w:rPr>
              <w:t>排放口(编号、名称）/污染源</w:t>
            </w:r>
          </w:p>
        </w:tc>
        <w:tc>
          <w:tcPr>
            <w:tcW w:w="1722" w:type="dxa"/>
            <w:noWrap w:val="0"/>
            <w:vAlign w:val="center"/>
          </w:tcPr>
          <w:p>
            <w:pPr>
              <w:adjustRightInd w:val="0"/>
              <w:snapToGrid w:val="0"/>
              <w:jc w:val="center"/>
              <w:rPr>
                <w:color w:val="auto"/>
                <w:sz w:val="24"/>
              </w:rPr>
            </w:pPr>
            <w:r>
              <w:rPr>
                <w:color w:val="auto"/>
                <w:sz w:val="24"/>
              </w:rPr>
              <w:t>污染物项目</w:t>
            </w:r>
          </w:p>
        </w:tc>
        <w:tc>
          <w:tcPr>
            <w:tcW w:w="2161" w:type="dxa"/>
            <w:noWrap w:val="0"/>
            <w:vAlign w:val="center"/>
          </w:tcPr>
          <w:p>
            <w:pPr>
              <w:adjustRightInd w:val="0"/>
              <w:snapToGrid w:val="0"/>
              <w:jc w:val="center"/>
              <w:rPr>
                <w:color w:val="auto"/>
                <w:sz w:val="24"/>
              </w:rPr>
            </w:pPr>
            <w:r>
              <w:rPr>
                <w:color w:val="auto"/>
                <w:sz w:val="24"/>
              </w:rPr>
              <w:t>环境保护措施</w:t>
            </w:r>
          </w:p>
        </w:tc>
        <w:tc>
          <w:tcPr>
            <w:tcW w:w="2092" w:type="dxa"/>
            <w:noWrap w:val="0"/>
            <w:vAlign w:val="center"/>
          </w:tcPr>
          <w:p>
            <w:pPr>
              <w:adjustRightInd w:val="0"/>
              <w:snapToGrid w:val="0"/>
              <w:jc w:val="center"/>
              <w:rPr>
                <w:color w:val="auto"/>
                <w:sz w:val="24"/>
              </w:rPr>
            </w:pPr>
            <w:r>
              <w:rPr>
                <w:color w:val="auto"/>
                <w:sz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15" w:type="dxa"/>
            <w:vMerge w:val="restart"/>
            <w:noWrap w:val="0"/>
            <w:vAlign w:val="center"/>
          </w:tcPr>
          <w:p>
            <w:pPr>
              <w:adjustRightInd w:val="0"/>
              <w:snapToGrid w:val="0"/>
              <w:jc w:val="center"/>
              <w:rPr>
                <w:color w:val="auto"/>
                <w:sz w:val="24"/>
              </w:rPr>
            </w:pPr>
            <w:r>
              <w:rPr>
                <w:color w:val="auto"/>
                <w:sz w:val="24"/>
              </w:rPr>
              <w:t>大气环境</w:t>
            </w:r>
          </w:p>
        </w:tc>
        <w:tc>
          <w:tcPr>
            <w:tcW w:w="1611" w:type="dxa"/>
            <w:noWrap w:val="0"/>
            <w:vAlign w:val="center"/>
          </w:tcPr>
          <w:p>
            <w:pPr>
              <w:adjustRightInd w:val="0"/>
              <w:snapToGrid w:val="0"/>
              <w:jc w:val="center"/>
              <w:rPr>
                <w:color w:val="auto"/>
                <w:sz w:val="24"/>
              </w:rPr>
            </w:pPr>
            <w:r>
              <w:rPr>
                <w:color w:val="auto"/>
                <w:sz w:val="24"/>
              </w:rPr>
              <w:t>烟囱</w:t>
            </w:r>
          </w:p>
          <w:p>
            <w:pPr>
              <w:adjustRightInd w:val="0"/>
              <w:snapToGrid w:val="0"/>
              <w:jc w:val="center"/>
              <w:rPr>
                <w:color w:val="auto"/>
                <w:sz w:val="24"/>
              </w:rPr>
            </w:pPr>
            <w:r>
              <w:rPr>
                <w:color w:val="auto"/>
                <w:sz w:val="24"/>
              </w:rPr>
              <w:t>DA001</w:t>
            </w:r>
          </w:p>
        </w:tc>
        <w:tc>
          <w:tcPr>
            <w:tcW w:w="1722" w:type="dxa"/>
            <w:noWrap w:val="0"/>
            <w:vAlign w:val="center"/>
          </w:tcPr>
          <w:p>
            <w:pPr>
              <w:pStyle w:val="37"/>
              <w:adjustRightInd w:val="0"/>
              <w:snapToGrid w:val="0"/>
              <w:spacing w:line="0" w:lineRule="atLeast"/>
              <w:jc w:val="both"/>
              <w:rPr>
                <w:rFonts w:ascii="Times New Roman" w:hAnsi="Times New Roman" w:eastAsia="宋体"/>
                <w:color w:val="auto"/>
              </w:rPr>
            </w:pPr>
            <w:r>
              <w:rPr>
                <w:rFonts w:ascii="Times New Roman" w:hAnsi="Times New Roman" w:eastAsia="宋体"/>
                <w:color w:val="auto"/>
              </w:rPr>
              <w:t>颗粒物、二氧化硫、氮氧化物、烟气黑度</w:t>
            </w:r>
          </w:p>
        </w:tc>
        <w:tc>
          <w:tcPr>
            <w:tcW w:w="2161" w:type="dxa"/>
            <w:noWrap w:val="0"/>
            <w:vAlign w:val="center"/>
          </w:tcPr>
          <w:p>
            <w:pPr>
              <w:pStyle w:val="37"/>
              <w:adjustRightInd w:val="0"/>
              <w:snapToGrid w:val="0"/>
              <w:spacing w:line="0" w:lineRule="atLeast"/>
              <w:jc w:val="both"/>
              <w:rPr>
                <w:rFonts w:ascii="Times New Roman" w:hAnsi="Times New Roman" w:eastAsia="宋体"/>
                <w:color w:val="auto"/>
              </w:rPr>
            </w:pPr>
            <w:r>
              <w:rPr>
                <w:rFonts w:ascii="Times New Roman" w:hAnsi="Times New Roman" w:eastAsia="宋体"/>
                <w:color w:val="auto"/>
              </w:rPr>
              <w:t>采用低氮燃烧技术，烟气</w:t>
            </w:r>
            <w:r>
              <w:rPr>
                <w:rFonts w:hint="eastAsia" w:ascii="Times New Roman" w:hAnsi="Times New Roman" w:eastAsia="宋体"/>
                <w:color w:val="auto"/>
              </w:rPr>
              <w:t>经</w:t>
            </w:r>
            <w:r>
              <w:rPr>
                <w:rFonts w:ascii="Times New Roman" w:hAnsi="Times New Roman" w:eastAsia="宋体"/>
                <w:color w:val="auto"/>
              </w:rPr>
              <w:t>陶瓷多管+布袋除尘器处理后（除尘效率99.</w:t>
            </w:r>
            <w:r>
              <w:rPr>
                <w:rFonts w:hint="eastAsia" w:ascii="Times New Roman" w:hAnsi="Times New Roman" w:eastAsia="宋体"/>
                <w:color w:val="auto"/>
              </w:rPr>
              <w:t>6</w:t>
            </w:r>
            <w:r>
              <w:rPr>
                <w:rFonts w:ascii="Times New Roman" w:hAnsi="Times New Roman" w:eastAsia="宋体"/>
                <w:color w:val="auto"/>
              </w:rPr>
              <w:t>%），由</w:t>
            </w:r>
            <w:r>
              <w:rPr>
                <w:rFonts w:hint="eastAsia" w:ascii="Times New Roman" w:hAnsi="Times New Roman" w:eastAsia="宋体"/>
                <w:color w:val="auto"/>
              </w:rPr>
              <w:t>1根40</w:t>
            </w:r>
            <w:r>
              <w:rPr>
                <w:rFonts w:ascii="Times New Roman" w:hAnsi="Times New Roman" w:eastAsia="宋体"/>
                <w:color w:val="auto"/>
              </w:rPr>
              <w:t>m高烟囱排放</w:t>
            </w:r>
          </w:p>
        </w:tc>
        <w:tc>
          <w:tcPr>
            <w:tcW w:w="2092" w:type="dxa"/>
            <w:noWrap w:val="0"/>
            <w:vAlign w:val="center"/>
          </w:tcPr>
          <w:p>
            <w:pPr>
              <w:adjustRightInd w:val="0"/>
              <w:snapToGrid w:val="0"/>
              <w:jc w:val="center"/>
              <w:rPr>
                <w:color w:val="auto"/>
                <w:sz w:val="24"/>
              </w:rPr>
            </w:pPr>
            <w:r>
              <w:rPr>
                <w:color w:val="auto"/>
                <w:sz w:val="24"/>
              </w:rPr>
              <w:t>《锅炉大气污染物排放标准》（GB13271—2014 ）表2</w:t>
            </w:r>
            <w:r>
              <w:rPr>
                <w:bCs/>
                <w:color w:val="auto"/>
                <w:sz w:val="24"/>
              </w:rPr>
              <w:t>燃煤锅炉大气污染物排放浓度限值要求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15" w:type="dxa"/>
            <w:vMerge w:val="continue"/>
            <w:noWrap w:val="0"/>
            <w:vAlign w:val="center"/>
          </w:tcPr>
          <w:p>
            <w:pPr>
              <w:adjustRightInd w:val="0"/>
              <w:snapToGrid w:val="0"/>
              <w:jc w:val="center"/>
              <w:rPr>
                <w:color w:val="auto"/>
                <w:sz w:val="24"/>
              </w:rPr>
            </w:pPr>
          </w:p>
        </w:tc>
        <w:tc>
          <w:tcPr>
            <w:tcW w:w="1611" w:type="dxa"/>
            <w:noWrap w:val="0"/>
            <w:vAlign w:val="center"/>
          </w:tcPr>
          <w:p>
            <w:pPr>
              <w:adjustRightInd w:val="0"/>
              <w:snapToGrid w:val="0"/>
              <w:jc w:val="center"/>
              <w:rPr>
                <w:rFonts w:hint="eastAsia"/>
                <w:color w:val="auto"/>
                <w:sz w:val="24"/>
              </w:rPr>
            </w:pPr>
            <w:r>
              <w:rPr>
                <w:rFonts w:hint="eastAsia"/>
                <w:color w:val="auto"/>
                <w:sz w:val="24"/>
              </w:rPr>
              <w:t>无组织</w:t>
            </w:r>
          </w:p>
        </w:tc>
        <w:tc>
          <w:tcPr>
            <w:tcW w:w="1722" w:type="dxa"/>
            <w:noWrap w:val="0"/>
            <w:vAlign w:val="center"/>
          </w:tcPr>
          <w:p>
            <w:pPr>
              <w:pStyle w:val="37"/>
              <w:adjustRightInd w:val="0"/>
              <w:snapToGrid w:val="0"/>
              <w:spacing w:line="0" w:lineRule="atLeast"/>
              <w:rPr>
                <w:rFonts w:ascii="Times New Roman" w:hAnsi="Times New Roman" w:eastAsia="宋体"/>
                <w:color w:val="auto"/>
              </w:rPr>
            </w:pPr>
            <w:r>
              <w:rPr>
                <w:rFonts w:ascii="Times New Roman" w:hAnsi="Times New Roman" w:eastAsia="宋体"/>
                <w:color w:val="auto"/>
              </w:rPr>
              <w:t>颗粒物</w:t>
            </w:r>
          </w:p>
        </w:tc>
        <w:tc>
          <w:tcPr>
            <w:tcW w:w="2161" w:type="dxa"/>
            <w:noWrap w:val="0"/>
            <w:vAlign w:val="center"/>
          </w:tcPr>
          <w:p>
            <w:pPr>
              <w:adjustRightInd w:val="0"/>
              <w:snapToGrid w:val="0"/>
              <w:jc w:val="center"/>
              <w:rPr>
                <w:color w:val="auto"/>
                <w:sz w:val="24"/>
              </w:rPr>
            </w:pPr>
            <w:r>
              <w:rPr>
                <w:rFonts w:hint="eastAsia"/>
                <w:bCs/>
                <w:color w:val="auto"/>
                <w:sz w:val="24"/>
              </w:rPr>
              <w:t>本项目灰渣采用湿式除渣，存放于运输车内，采用苫布苫盖，及时清运，不长期储存；秸秆堆垛过程中会产生少量的粉尘，燃料堆场周边设置防风抑尘网，采用苫布苫盖，粉尘以无组织形式在厂区排放粉尘产生量较小</w:t>
            </w:r>
          </w:p>
        </w:tc>
        <w:tc>
          <w:tcPr>
            <w:tcW w:w="2092" w:type="dxa"/>
            <w:noWrap w:val="0"/>
            <w:vAlign w:val="center"/>
          </w:tcPr>
          <w:p>
            <w:pPr>
              <w:adjustRightInd w:val="0"/>
              <w:snapToGrid w:val="0"/>
              <w:jc w:val="center"/>
              <w:rPr>
                <w:color w:val="auto"/>
                <w:sz w:val="24"/>
              </w:rPr>
            </w:pPr>
            <w:r>
              <w:rPr>
                <w:color w:val="auto"/>
                <w:sz w:val="24"/>
              </w:rPr>
              <w:t>《大气污染物综合排放标准》（GB16297-1996）表2无组织排放监控浓度限值要求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15" w:type="dxa"/>
            <w:vMerge w:val="restart"/>
            <w:noWrap w:val="0"/>
            <w:vAlign w:val="center"/>
          </w:tcPr>
          <w:p>
            <w:pPr>
              <w:adjustRightInd w:val="0"/>
              <w:snapToGrid w:val="0"/>
              <w:jc w:val="center"/>
              <w:rPr>
                <w:color w:val="auto"/>
                <w:sz w:val="24"/>
              </w:rPr>
            </w:pPr>
            <w:r>
              <w:rPr>
                <w:color w:val="auto"/>
                <w:sz w:val="24"/>
              </w:rPr>
              <w:t>地表水环境</w:t>
            </w:r>
          </w:p>
        </w:tc>
        <w:tc>
          <w:tcPr>
            <w:tcW w:w="1611" w:type="dxa"/>
            <w:noWrap w:val="0"/>
            <w:vAlign w:val="center"/>
          </w:tcPr>
          <w:p>
            <w:pPr>
              <w:adjustRightInd w:val="0"/>
              <w:snapToGrid w:val="0"/>
              <w:jc w:val="center"/>
              <w:rPr>
                <w:color w:val="auto"/>
                <w:sz w:val="24"/>
              </w:rPr>
            </w:pPr>
            <w:r>
              <w:rPr>
                <w:color w:val="auto"/>
                <w:sz w:val="24"/>
              </w:rPr>
              <w:t>锅炉排污水</w:t>
            </w:r>
          </w:p>
        </w:tc>
        <w:tc>
          <w:tcPr>
            <w:tcW w:w="1722" w:type="dxa"/>
            <w:noWrap w:val="0"/>
            <w:vAlign w:val="center"/>
          </w:tcPr>
          <w:p>
            <w:pPr>
              <w:pStyle w:val="37"/>
              <w:adjustRightInd w:val="0"/>
              <w:snapToGrid w:val="0"/>
              <w:spacing w:line="0" w:lineRule="atLeast"/>
              <w:rPr>
                <w:rFonts w:ascii="Times New Roman" w:hAnsi="Times New Roman" w:eastAsia="宋体"/>
                <w:color w:val="auto"/>
              </w:rPr>
            </w:pPr>
            <w:r>
              <w:rPr>
                <w:rFonts w:ascii="Times New Roman" w:hAnsi="Times New Roman" w:eastAsia="宋体"/>
                <w:color w:val="auto"/>
              </w:rPr>
              <w:t xml:space="preserve">COD </w:t>
            </w:r>
          </w:p>
        </w:tc>
        <w:tc>
          <w:tcPr>
            <w:tcW w:w="2161" w:type="dxa"/>
            <w:noWrap w:val="0"/>
            <w:vAlign w:val="center"/>
          </w:tcPr>
          <w:p>
            <w:pPr>
              <w:adjustRightInd w:val="0"/>
              <w:snapToGrid w:val="0"/>
              <w:jc w:val="center"/>
              <w:rPr>
                <w:color w:val="auto"/>
                <w:sz w:val="24"/>
              </w:rPr>
            </w:pPr>
            <w:r>
              <w:rPr>
                <w:rFonts w:hint="eastAsia"/>
                <w:bCs/>
                <w:color w:val="auto"/>
                <w:sz w:val="24"/>
              </w:rPr>
              <w:t>用于湿式除渣及锅炉房洒水抑尘，不外排</w:t>
            </w:r>
          </w:p>
        </w:tc>
        <w:tc>
          <w:tcPr>
            <w:tcW w:w="2092" w:type="dxa"/>
            <w:noWrap w:val="0"/>
            <w:vAlign w:val="center"/>
          </w:tcPr>
          <w:p>
            <w:pPr>
              <w:adjustRightInd w:val="0"/>
              <w:snapToGrid w:val="0"/>
              <w:jc w:val="center"/>
              <w:rPr>
                <w:color w:val="auto"/>
                <w:sz w:val="24"/>
              </w:rPr>
            </w:pPr>
            <w:r>
              <w:rPr>
                <w:color w:val="auto"/>
                <w:sz w:val="24"/>
              </w:rPr>
              <w:t>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15" w:type="dxa"/>
            <w:vMerge w:val="continue"/>
            <w:noWrap w:val="0"/>
            <w:vAlign w:val="center"/>
          </w:tcPr>
          <w:p>
            <w:pPr>
              <w:adjustRightInd w:val="0"/>
              <w:snapToGrid w:val="0"/>
              <w:jc w:val="center"/>
              <w:rPr>
                <w:color w:val="auto"/>
                <w:sz w:val="24"/>
              </w:rPr>
            </w:pPr>
          </w:p>
        </w:tc>
        <w:tc>
          <w:tcPr>
            <w:tcW w:w="1611" w:type="dxa"/>
            <w:noWrap w:val="0"/>
            <w:vAlign w:val="center"/>
          </w:tcPr>
          <w:p>
            <w:pPr>
              <w:adjustRightInd w:val="0"/>
              <w:snapToGrid w:val="0"/>
              <w:jc w:val="center"/>
              <w:rPr>
                <w:color w:val="auto"/>
                <w:sz w:val="24"/>
              </w:rPr>
            </w:pPr>
            <w:r>
              <w:rPr>
                <w:color w:val="auto"/>
                <w:sz w:val="24"/>
              </w:rPr>
              <w:t>生活污水</w:t>
            </w:r>
          </w:p>
        </w:tc>
        <w:tc>
          <w:tcPr>
            <w:tcW w:w="1722" w:type="dxa"/>
            <w:noWrap w:val="0"/>
            <w:vAlign w:val="center"/>
          </w:tcPr>
          <w:p>
            <w:pPr>
              <w:pStyle w:val="37"/>
              <w:adjustRightInd w:val="0"/>
              <w:snapToGrid w:val="0"/>
              <w:spacing w:line="0" w:lineRule="atLeast"/>
              <w:rPr>
                <w:rFonts w:ascii="Times New Roman" w:hAnsi="Times New Roman" w:eastAsia="宋体"/>
                <w:color w:val="auto"/>
              </w:rPr>
            </w:pPr>
            <w:r>
              <w:rPr>
                <w:rFonts w:ascii="Times New Roman" w:hAnsi="Times New Roman" w:eastAsia="宋体"/>
                <w:color w:val="auto"/>
              </w:rPr>
              <w:t>COD、氨氮、SS、pH、BOD</w:t>
            </w:r>
            <w:r>
              <w:rPr>
                <w:rFonts w:ascii="Times New Roman" w:hAnsi="Times New Roman" w:eastAsia="宋体"/>
                <w:color w:val="auto"/>
                <w:vertAlign w:val="subscript"/>
              </w:rPr>
              <w:t>5</w:t>
            </w:r>
          </w:p>
        </w:tc>
        <w:tc>
          <w:tcPr>
            <w:tcW w:w="2161" w:type="dxa"/>
            <w:noWrap w:val="0"/>
            <w:vAlign w:val="center"/>
          </w:tcPr>
          <w:p>
            <w:pPr>
              <w:adjustRightInd w:val="0"/>
              <w:snapToGrid w:val="0"/>
              <w:jc w:val="center"/>
              <w:rPr>
                <w:color w:val="auto"/>
                <w:sz w:val="24"/>
              </w:rPr>
            </w:pPr>
            <w:r>
              <w:rPr>
                <w:rFonts w:hint="eastAsia"/>
                <w:color w:val="auto"/>
                <w:sz w:val="24"/>
              </w:rPr>
              <w:t>依托附近公用防渗旱厕，定期清掏，外运堆肥</w:t>
            </w:r>
          </w:p>
        </w:tc>
        <w:tc>
          <w:tcPr>
            <w:tcW w:w="2092" w:type="dxa"/>
            <w:noWrap w:val="0"/>
            <w:vAlign w:val="center"/>
          </w:tcPr>
          <w:p>
            <w:pPr>
              <w:adjustRightInd w:val="0"/>
              <w:snapToGrid w:val="0"/>
              <w:jc w:val="center"/>
              <w:rPr>
                <w:color w:val="auto"/>
                <w:sz w:val="24"/>
              </w:rPr>
            </w:pPr>
            <w:r>
              <w:rPr>
                <w:color w:val="auto"/>
                <w:sz w:val="24"/>
              </w:rPr>
              <w:t>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15" w:type="dxa"/>
            <w:noWrap w:val="0"/>
            <w:vAlign w:val="center"/>
          </w:tcPr>
          <w:p>
            <w:pPr>
              <w:adjustRightInd w:val="0"/>
              <w:snapToGrid w:val="0"/>
              <w:jc w:val="center"/>
              <w:rPr>
                <w:color w:val="auto"/>
                <w:sz w:val="24"/>
              </w:rPr>
            </w:pPr>
            <w:r>
              <w:rPr>
                <w:color w:val="auto"/>
                <w:sz w:val="24"/>
              </w:rPr>
              <w:t>声环境</w:t>
            </w:r>
          </w:p>
        </w:tc>
        <w:tc>
          <w:tcPr>
            <w:tcW w:w="1611" w:type="dxa"/>
            <w:noWrap w:val="0"/>
            <w:vAlign w:val="center"/>
          </w:tcPr>
          <w:p>
            <w:pPr>
              <w:adjustRightInd w:val="0"/>
              <w:snapToGrid w:val="0"/>
              <w:jc w:val="center"/>
              <w:rPr>
                <w:color w:val="auto"/>
                <w:sz w:val="24"/>
              </w:rPr>
            </w:pPr>
            <w:r>
              <w:rPr>
                <w:color w:val="auto"/>
                <w:sz w:val="24"/>
              </w:rPr>
              <w:t>设备噪声</w:t>
            </w:r>
          </w:p>
        </w:tc>
        <w:tc>
          <w:tcPr>
            <w:tcW w:w="1722" w:type="dxa"/>
            <w:noWrap w:val="0"/>
            <w:vAlign w:val="center"/>
          </w:tcPr>
          <w:p>
            <w:pPr>
              <w:adjustRightInd w:val="0"/>
              <w:snapToGrid w:val="0"/>
              <w:jc w:val="center"/>
              <w:rPr>
                <w:color w:val="auto"/>
                <w:sz w:val="24"/>
              </w:rPr>
            </w:pPr>
            <w:r>
              <w:rPr>
                <w:color w:val="auto"/>
                <w:sz w:val="24"/>
              </w:rPr>
              <w:t>噪声</w:t>
            </w:r>
          </w:p>
        </w:tc>
        <w:tc>
          <w:tcPr>
            <w:tcW w:w="2161" w:type="dxa"/>
            <w:noWrap w:val="0"/>
            <w:vAlign w:val="center"/>
          </w:tcPr>
          <w:p>
            <w:pPr>
              <w:adjustRightInd w:val="0"/>
              <w:snapToGrid w:val="0"/>
              <w:jc w:val="center"/>
              <w:rPr>
                <w:color w:val="auto"/>
                <w:sz w:val="24"/>
              </w:rPr>
            </w:pPr>
            <w:r>
              <w:rPr>
                <w:rFonts w:hint="eastAsia" w:hAnsi="宋体"/>
                <w:color w:val="auto"/>
                <w:sz w:val="24"/>
              </w:rPr>
              <w:t>采用低噪声设备、厂房隔声、基础减振</w:t>
            </w:r>
          </w:p>
        </w:tc>
        <w:tc>
          <w:tcPr>
            <w:tcW w:w="2092" w:type="dxa"/>
            <w:noWrap w:val="0"/>
            <w:vAlign w:val="center"/>
          </w:tcPr>
          <w:p>
            <w:pPr>
              <w:adjustRightInd w:val="0"/>
              <w:snapToGrid w:val="0"/>
              <w:jc w:val="center"/>
              <w:rPr>
                <w:color w:val="auto"/>
                <w:sz w:val="24"/>
              </w:rPr>
            </w:pPr>
            <w:r>
              <w:rPr>
                <w:rFonts w:hint="eastAsia"/>
                <w:bCs/>
                <w:color w:val="auto"/>
                <w:sz w:val="24"/>
              </w:rPr>
              <w:t>厂界执行</w:t>
            </w:r>
            <w:r>
              <w:rPr>
                <w:bCs/>
                <w:color w:val="auto"/>
                <w:sz w:val="24"/>
              </w:rPr>
              <w:t>《工业企业厂界环境噪声排放标准》（GB12348-2008）</w:t>
            </w:r>
            <w:r>
              <w:rPr>
                <w:rFonts w:hint="eastAsia"/>
                <w:bCs/>
                <w:color w:val="auto"/>
                <w:sz w:val="24"/>
              </w:rPr>
              <w:t>中2类标准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15" w:type="dxa"/>
            <w:noWrap w:val="0"/>
            <w:vAlign w:val="center"/>
          </w:tcPr>
          <w:p>
            <w:pPr>
              <w:adjustRightInd w:val="0"/>
              <w:snapToGrid w:val="0"/>
              <w:jc w:val="center"/>
              <w:rPr>
                <w:color w:val="auto"/>
                <w:sz w:val="24"/>
              </w:rPr>
            </w:pPr>
            <w:r>
              <w:rPr>
                <w:color w:val="auto"/>
                <w:sz w:val="24"/>
              </w:rPr>
              <w:t>电磁辐射</w:t>
            </w:r>
          </w:p>
        </w:tc>
        <w:tc>
          <w:tcPr>
            <w:tcW w:w="1611" w:type="dxa"/>
            <w:noWrap w:val="0"/>
            <w:vAlign w:val="center"/>
          </w:tcPr>
          <w:p>
            <w:pPr>
              <w:adjustRightInd w:val="0"/>
              <w:snapToGrid w:val="0"/>
              <w:jc w:val="center"/>
              <w:rPr>
                <w:color w:val="auto"/>
                <w:sz w:val="24"/>
              </w:rPr>
            </w:pPr>
            <w:r>
              <w:rPr>
                <w:color w:val="auto"/>
                <w:sz w:val="24"/>
              </w:rPr>
              <w:t>/</w:t>
            </w:r>
          </w:p>
        </w:tc>
        <w:tc>
          <w:tcPr>
            <w:tcW w:w="1722" w:type="dxa"/>
            <w:noWrap w:val="0"/>
            <w:vAlign w:val="center"/>
          </w:tcPr>
          <w:p>
            <w:pPr>
              <w:adjustRightInd w:val="0"/>
              <w:snapToGrid w:val="0"/>
              <w:jc w:val="center"/>
              <w:rPr>
                <w:color w:val="auto"/>
                <w:sz w:val="24"/>
              </w:rPr>
            </w:pPr>
            <w:r>
              <w:rPr>
                <w:color w:val="auto"/>
                <w:sz w:val="24"/>
              </w:rPr>
              <w:t>/</w:t>
            </w:r>
          </w:p>
        </w:tc>
        <w:tc>
          <w:tcPr>
            <w:tcW w:w="2161" w:type="dxa"/>
            <w:noWrap w:val="0"/>
            <w:vAlign w:val="center"/>
          </w:tcPr>
          <w:p>
            <w:pPr>
              <w:adjustRightInd w:val="0"/>
              <w:snapToGrid w:val="0"/>
              <w:jc w:val="center"/>
              <w:rPr>
                <w:color w:val="auto"/>
                <w:sz w:val="24"/>
              </w:rPr>
            </w:pPr>
            <w:r>
              <w:rPr>
                <w:color w:val="auto"/>
                <w:sz w:val="24"/>
              </w:rPr>
              <w:t>/</w:t>
            </w:r>
          </w:p>
        </w:tc>
        <w:tc>
          <w:tcPr>
            <w:tcW w:w="2092" w:type="dxa"/>
            <w:noWrap w:val="0"/>
            <w:vAlign w:val="center"/>
          </w:tcPr>
          <w:p>
            <w:pPr>
              <w:adjustRightInd w:val="0"/>
              <w:snapToGrid w:val="0"/>
              <w:jc w:val="center"/>
              <w:rPr>
                <w:color w:val="auto"/>
                <w:sz w:val="24"/>
              </w:rPr>
            </w:pPr>
            <w:r>
              <w:rPr>
                <w:color w:val="auto"/>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15" w:type="dxa"/>
            <w:noWrap w:val="0"/>
            <w:vAlign w:val="center"/>
          </w:tcPr>
          <w:p>
            <w:pPr>
              <w:adjustRightInd w:val="0"/>
              <w:snapToGrid w:val="0"/>
              <w:jc w:val="center"/>
              <w:rPr>
                <w:color w:val="auto"/>
                <w:sz w:val="24"/>
              </w:rPr>
            </w:pPr>
            <w:r>
              <w:rPr>
                <w:color w:val="auto"/>
                <w:sz w:val="24"/>
              </w:rPr>
              <w:t>固体废物</w:t>
            </w:r>
          </w:p>
        </w:tc>
        <w:tc>
          <w:tcPr>
            <w:tcW w:w="1611" w:type="dxa"/>
            <w:noWrap w:val="0"/>
            <w:vAlign w:val="center"/>
          </w:tcPr>
          <w:p>
            <w:pPr>
              <w:adjustRightInd w:val="0"/>
              <w:snapToGrid w:val="0"/>
              <w:jc w:val="center"/>
              <w:rPr>
                <w:rFonts w:hint="eastAsia"/>
                <w:color w:val="auto"/>
                <w:sz w:val="24"/>
              </w:rPr>
            </w:pPr>
            <w:r>
              <w:rPr>
                <w:rFonts w:hint="eastAsia"/>
                <w:color w:val="auto"/>
                <w:sz w:val="24"/>
              </w:rPr>
              <w:t>员工生活</w:t>
            </w:r>
          </w:p>
        </w:tc>
        <w:tc>
          <w:tcPr>
            <w:tcW w:w="1722" w:type="dxa"/>
            <w:noWrap w:val="0"/>
            <w:vAlign w:val="center"/>
          </w:tcPr>
          <w:p>
            <w:pPr>
              <w:adjustRightInd w:val="0"/>
              <w:snapToGrid w:val="0"/>
              <w:jc w:val="center"/>
              <w:rPr>
                <w:color w:val="auto"/>
                <w:sz w:val="24"/>
              </w:rPr>
            </w:pPr>
            <w:r>
              <w:rPr>
                <w:rFonts w:hint="eastAsia"/>
                <w:color w:val="auto"/>
                <w:sz w:val="24"/>
              </w:rPr>
              <w:t>生活垃圾（SW64代码900-099-S64）</w:t>
            </w:r>
          </w:p>
        </w:tc>
        <w:tc>
          <w:tcPr>
            <w:tcW w:w="4253" w:type="dxa"/>
            <w:gridSpan w:val="2"/>
            <w:noWrap w:val="0"/>
            <w:vAlign w:val="center"/>
          </w:tcPr>
          <w:p>
            <w:pPr>
              <w:autoSpaceDE w:val="0"/>
              <w:autoSpaceDN w:val="0"/>
              <w:contextualSpacing/>
              <w:jc w:val="center"/>
              <w:rPr>
                <w:color w:val="auto"/>
                <w:sz w:val="24"/>
              </w:rPr>
            </w:pPr>
            <w:r>
              <w:rPr>
                <w:color w:val="auto"/>
                <w:sz w:val="24"/>
              </w:rPr>
              <w:t>交由市政部门统一处理</w:t>
            </w:r>
          </w:p>
        </w:tc>
      </w:tr>
    </w:tbl>
    <w:p>
      <w:pPr>
        <w:rPr>
          <w:color w:val="auto"/>
        </w:rPr>
      </w:pPr>
    </w:p>
    <w:tbl>
      <w:tblPr>
        <w:tblStyle w:val="1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611"/>
        <w:gridCol w:w="1722"/>
        <w:gridCol w:w="42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15" w:type="dxa"/>
            <w:vMerge w:val="restart"/>
            <w:noWrap w:val="0"/>
            <w:vAlign w:val="center"/>
          </w:tcPr>
          <w:p>
            <w:pPr>
              <w:adjustRightInd w:val="0"/>
              <w:snapToGrid w:val="0"/>
              <w:jc w:val="center"/>
              <w:rPr>
                <w:color w:val="auto"/>
                <w:sz w:val="24"/>
              </w:rPr>
            </w:pPr>
            <w:r>
              <w:rPr>
                <w:color w:val="auto"/>
                <w:sz w:val="24"/>
              </w:rPr>
              <w:t>固体废物</w:t>
            </w:r>
          </w:p>
        </w:tc>
        <w:tc>
          <w:tcPr>
            <w:tcW w:w="1611" w:type="dxa"/>
            <w:noWrap w:val="0"/>
            <w:vAlign w:val="center"/>
          </w:tcPr>
          <w:p>
            <w:pPr>
              <w:adjustRightInd w:val="0"/>
              <w:snapToGrid w:val="0"/>
              <w:jc w:val="center"/>
              <w:rPr>
                <w:color w:val="auto"/>
                <w:sz w:val="24"/>
              </w:rPr>
            </w:pPr>
            <w:r>
              <w:rPr>
                <w:rFonts w:hint="eastAsia"/>
                <w:color w:val="auto"/>
                <w:sz w:val="24"/>
              </w:rPr>
              <w:t>软化水处理工艺</w:t>
            </w:r>
          </w:p>
        </w:tc>
        <w:tc>
          <w:tcPr>
            <w:tcW w:w="1722" w:type="dxa"/>
            <w:noWrap w:val="0"/>
            <w:vAlign w:val="center"/>
          </w:tcPr>
          <w:p>
            <w:pPr>
              <w:adjustRightInd w:val="0"/>
              <w:snapToGrid w:val="0"/>
              <w:jc w:val="center"/>
              <w:rPr>
                <w:color w:val="auto"/>
                <w:sz w:val="24"/>
              </w:rPr>
            </w:pPr>
            <w:r>
              <w:rPr>
                <w:color w:val="auto"/>
                <w:sz w:val="24"/>
              </w:rPr>
              <w:t>锰砂废料</w:t>
            </w:r>
            <w:r>
              <w:rPr>
                <w:rFonts w:hint="eastAsia"/>
                <w:color w:val="auto"/>
                <w:sz w:val="24"/>
              </w:rPr>
              <w:t>（SW59代码900-009-S59）</w:t>
            </w:r>
          </w:p>
        </w:tc>
        <w:tc>
          <w:tcPr>
            <w:tcW w:w="4253" w:type="dxa"/>
            <w:noWrap w:val="0"/>
            <w:vAlign w:val="center"/>
          </w:tcPr>
          <w:p>
            <w:pPr>
              <w:adjustRightInd w:val="0"/>
              <w:snapToGrid w:val="0"/>
              <w:jc w:val="center"/>
              <w:rPr>
                <w:rFonts w:hint="eastAsia"/>
                <w:color w:val="auto"/>
                <w:sz w:val="24"/>
              </w:rPr>
            </w:pPr>
            <w:r>
              <w:rPr>
                <w:color w:val="auto"/>
                <w:sz w:val="24"/>
              </w:rPr>
              <w:t>交由市政部门统一处理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15" w:type="dxa"/>
            <w:vMerge w:val="continue"/>
            <w:noWrap w:val="0"/>
            <w:vAlign w:val="center"/>
          </w:tcPr>
          <w:p>
            <w:pPr>
              <w:adjustRightInd w:val="0"/>
              <w:snapToGrid w:val="0"/>
              <w:jc w:val="center"/>
              <w:rPr>
                <w:color w:val="auto"/>
                <w:sz w:val="24"/>
              </w:rPr>
            </w:pPr>
          </w:p>
        </w:tc>
        <w:tc>
          <w:tcPr>
            <w:tcW w:w="1611" w:type="dxa"/>
            <w:noWrap w:val="0"/>
            <w:vAlign w:val="center"/>
          </w:tcPr>
          <w:p>
            <w:pPr>
              <w:adjustRightInd w:val="0"/>
              <w:snapToGrid w:val="0"/>
              <w:jc w:val="center"/>
              <w:rPr>
                <w:color w:val="auto"/>
                <w:sz w:val="24"/>
              </w:rPr>
            </w:pPr>
            <w:r>
              <w:rPr>
                <w:color w:val="auto"/>
                <w:sz w:val="24"/>
              </w:rPr>
              <w:t>废气治理</w:t>
            </w:r>
          </w:p>
        </w:tc>
        <w:tc>
          <w:tcPr>
            <w:tcW w:w="1722" w:type="dxa"/>
            <w:noWrap w:val="0"/>
            <w:vAlign w:val="center"/>
          </w:tcPr>
          <w:p>
            <w:pPr>
              <w:adjustRightInd w:val="0"/>
              <w:snapToGrid w:val="0"/>
              <w:jc w:val="center"/>
              <w:rPr>
                <w:color w:val="auto"/>
                <w:sz w:val="24"/>
              </w:rPr>
            </w:pPr>
            <w:r>
              <w:rPr>
                <w:color w:val="auto"/>
                <w:sz w:val="24"/>
              </w:rPr>
              <w:t>废布袋</w:t>
            </w:r>
            <w:r>
              <w:rPr>
                <w:rFonts w:hint="eastAsia"/>
                <w:color w:val="auto"/>
                <w:sz w:val="24"/>
              </w:rPr>
              <w:t>（SW59代码900-009-S59）</w:t>
            </w:r>
          </w:p>
        </w:tc>
        <w:tc>
          <w:tcPr>
            <w:tcW w:w="4253" w:type="dxa"/>
            <w:noWrap w:val="0"/>
            <w:vAlign w:val="center"/>
          </w:tcPr>
          <w:p>
            <w:pPr>
              <w:contextualSpacing/>
              <w:jc w:val="center"/>
              <w:rPr>
                <w:color w:val="auto"/>
                <w:sz w:val="24"/>
              </w:rPr>
            </w:pPr>
            <w:r>
              <w:rPr>
                <w:rFonts w:hint="eastAsia"/>
                <w:color w:val="auto"/>
                <w:sz w:val="24"/>
              </w:rPr>
              <w:t>由除尘器厂家更换后直接带走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15" w:type="dxa"/>
            <w:vMerge w:val="continue"/>
            <w:noWrap w:val="0"/>
            <w:vAlign w:val="center"/>
          </w:tcPr>
          <w:p>
            <w:pPr>
              <w:adjustRightInd w:val="0"/>
              <w:snapToGrid w:val="0"/>
              <w:jc w:val="center"/>
              <w:rPr>
                <w:color w:val="auto"/>
                <w:sz w:val="24"/>
              </w:rPr>
            </w:pPr>
          </w:p>
        </w:tc>
        <w:tc>
          <w:tcPr>
            <w:tcW w:w="1611" w:type="dxa"/>
            <w:noWrap w:val="0"/>
            <w:vAlign w:val="center"/>
          </w:tcPr>
          <w:p>
            <w:pPr>
              <w:adjustRightInd w:val="0"/>
              <w:snapToGrid w:val="0"/>
              <w:jc w:val="center"/>
              <w:rPr>
                <w:color w:val="auto"/>
                <w:sz w:val="24"/>
              </w:rPr>
            </w:pPr>
            <w:r>
              <w:rPr>
                <w:color w:val="auto"/>
                <w:sz w:val="24"/>
              </w:rPr>
              <w:t>锅炉</w:t>
            </w:r>
          </w:p>
        </w:tc>
        <w:tc>
          <w:tcPr>
            <w:tcW w:w="1722" w:type="dxa"/>
            <w:noWrap w:val="0"/>
            <w:vAlign w:val="center"/>
          </w:tcPr>
          <w:p>
            <w:pPr>
              <w:adjustRightInd w:val="0"/>
              <w:snapToGrid w:val="0"/>
              <w:jc w:val="center"/>
              <w:rPr>
                <w:color w:val="auto"/>
                <w:sz w:val="24"/>
              </w:rPr>
            </w:pPr>
            <w:r>
              <w:rPr>
                <w:rFonts w:hint="eastAsia"/>
                <w:color w:val="auto"/>
                <w:sz w:val="24"/>
              </w:rPr>
              <w:t>锅炉灰渣（SW03代码900-099-S03）</w:t>
            </w:r>
          </w:p>
        </w:tc>
        <w:tc>
          <w:tcPr>
            <w:tcW w:w="4253" w:type="dxa"/>
            <w:vMerge w:val="restart"/>
            <w:noWrap w:val="0"/>
            <w:vAlign w:val="center"/>
          </w:tcPr>
          <w:p>
            <w:pPr>
              <w:contextualSpacing/>
              <w:jc w:val="center"/>
              <w:rPr>
                <w:color w:val="auto"/>
                <w:sz w:val="24"/>
              </w:rPr>
            </w:pPr>
            <w:r>
              <w:rPr>
                <w:color w:val="auto"/>
                <w:sz w:val="24"/>
              </w:rPr>
              <w:t>作为有机肥原料外售综合利用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15" w:type="dxa"/>
            <w:vMerge w:val="continue"/>
            <w:noWrap w:val="0"/>
            <w:vAlign w:val="center"/>
          </w:tcPr>
          <w:p>
            <w:pPr>
              <w:adjustRightInd w:val="0"/>
              <w:snapToGrid w:val="0"/>
              <w:jc w:val="center"/>
              <w:rPr>
                <w:color w:val="auto"/>
                <w:sz w:val="24"/>
              </w:rPr>
            </w:pPr>
          </w:p>
        </w:tc>
        <w:tc>
          <w:tcPr>
            <w:tcW w:w="1611" w:type="dxa"/>
            <w:noWrap w:val="0"/>
            <w:vAlign w:val="center"/>
          </w:tcPr>
          <w:p>
            <w:pPr>
              <w:adjustRightInd w:val="0"/>
              <w:snapToGrid w:val="0"/>
              <w:jc w:val="center"/>
              <w:rPr>
                <w:color w:val="auto"/>
                <w:sz w:val="24"/>
              </w:rPr>
            </w:pPr>
            <w:r>
              <w:rPr>
                <w:color w:val="auto"/>
                <w:sz w:val="24"/>
              </w:rPr>
              <w:t>废气治理</w:t>
            </w:r>
          </w:p>
        </w:tc>
        <w:tc>
          <w:tcPr>
            <w:tcW w:w="1722" w:type="dxa"/>
            <w:noWrap w:val="0"/>
            <w:vAlign w:val="center"/>
          </w:tcPr>
          <w:p>
            <w:pPr>
              <w:adjustRightInd w:val="0"/>
              <w:snapToGrid w:val="0"/>
              <w:jc w:val="center"/>
              <w:rPr>
                <w:rFonts w:hint="eastAsia"/>
                <w:color w:val="auto"/>
                <w:sz w:val="24"/>
              </w:rPr>
            </w:pPr>
            <w:r>
              <w:rPr>
                <w:rFonts w:hint="eastAsia"/>
                <w:color w:val="auto"/>
                <w:sz w:val="24"/>
              </w:rPr>
              <w:t>布袋除尘器收集的除尘灰（SW59代码900-009-S59）</w:t>
            </w:r>
          </w:p>
        </w:tc>
        <w:tc>
          <w:tcPr>
            <w:tcW w:w="4253" w:type="dxa"/>
            <w:vMerge w:val="continue"/>
            <w:noWrap w:val="0"/>
            <w:vAlign w:val="center"/>
          </w:tcPr>
          <w:p>
            <w:pPr>
              <w:contextualSpacing/>
              <w:jc w:val="center"/>
              <w:rPr>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15" w:type="dxa"/>
            <w:noWrap w:val="0"/>
            <w:vAlign w:val="center"/>
          </w:tcPr>
          <w:p>
            <w:pPr>
              <w:adjustRightInd w:val="0"/>
              <w:snapToGrid w:val="0"/>
              <w:jc w:val="center"/>
              <w:rPr>
                <w:color w:val="auto"/>
                <w:sz w:val="24"/>
              </w:rPr>
            </w:pPr>
            <w:r>
              <w:rPr>
                <w:color w:val="auto"/>
                <w:sz w:val="24"/>
              </w:rPr>
              <w:t>土壤及地下水污染防治措施</w:t>
            </w:r>
          </w:p>
        </w:tc>
        <w:tc>
          <w:tcPr>
            <w:tcW w:w="7586" w:type="dxa"/>
            <w:gridSpan w:val="3"/>
            <w:noWrap w:val="0"/>
            <w:vAlign w:val="center"/>
          </w:tcPr>
          <w:p>
            <w:pPr>
              <w:adjustRightInd w:val="0"/>
              <w:snapToGrid w:val="0"/>
              <w:jc w:val="center"/>
              <w:rPr>
                <w:rFonts w:hint="eastAsia"/>
                <w:color w:val="auto"/>
                <w:sz w:val="24"/>
              </w:rPr>
            </w:pPr>
            <w:r>
              <w:rPr>
                <w:rFonts w:hAnsi="宋体"/>
                <w:bCs/>
                <w:color w:val="auto"/>
                <w:sz w:val="24"/>
              </w:rPr>
              <w:t>用地范围内均进行了</w:t>
            </w:r>
            <w:r>
              <w:rPr>
                <w:rFonts w:hint="eastAsia" w:hAnsi="宋体"/>
                <w:bCs/>
                <w:color w:val="auto"/>
                <w:sz w:val="24"/>
              </w:rPr>
              <w:t>硬化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15" w:type="dxa"/>
            <w:noWrap w:val="0"/>
            <w:vAlign w:val="center"/>
          </w:tcPr>
          <w:p>
            <w:pPr>
              <w:adjustRightInd w:val="0"/>
              <w:snapToGrid w:val="0"/>
              <w:jc w:val="center"/>
              <w:rPr>
                <w:color w:val="auto"/>
                <w:sz w:val="24"/>
              </w:rPr>
            </w:pPr>
            <w:r>
              <w:rPr>
                <w:color w:val="auto"/>
                <w:sz w:val="24"/>
              </w:rPr>
              <w:t>生态保护措施</w:t>
            </w:r>
          </w:p>
        </w:tc>
        <w:tc>
          <w:tcPr>
            <w:tcW w:w="7586" w:type="dxa"/>
            <w:gridSpan w:val="3"/>
            <w:noWrap w:val="0"/>
            <w:vAlign w:val="center"/>
          </w:tcPr>
          <w:p>
            <w:pPr>
              <w:adjustRightInd w:val="0"/>
              <w:snapToGrid w:val="0"/>
              <w:jc w:val="center"/>
              <w:rPr>
                <w:color w:val="auto"/>
                <w:sz w:val="24"/>
              </w:rPr>
            </w:pPr>
            <w:r>
              <w:rPr>
                <w:color w:val="auto"/>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215" w:type="dxa"/>
            <w:noWrap w:val="0"/>
            <w:vAlign w:val="center"/>
          </w:tcPr>
          <w:p>
            <w:pPr>
              <w:adjustRightInd w:val="0"/>
              <w:snapToGrid w:val="0"/>
              <w:jc w:val="center"/>
              <w:rPr>
                <w:color w:val="auto"/>
                <w:spacing w:val="-8"/>
                <w:sz w:val="24"/>
              </w:rPr>
            </w:pPr>
            <w:r>
              <w:rPr>
                <w:color w:val="auto"/>
                <w:spacing w:val="-8"/>
                <w:sz w:val="24"/>
              </w:rPr>
              <w:t>环境风险</w:t>
            </w:r>
          </w:p>
          <w:p>
            <w:pPr>
              <w:adjustRightInd w:val="0"/>
              <w:snapToGrid w:val="0"/>
              <w:jc w:val="center"/>
              <w:rPr>
                <w:color w:val="auto"/>
                <w:spacing w:val="-8"/>
                <w:sz w:val="24"/>
              </w:rPr>
            </w:pPr>
            <w:r>
              <w:rPr>
                <w:color w:val="auto"/>
                <w:spacing w:val="-8"/>
                <w:sz w:val="24"/>
              </w:rPr>
              <w:t>防范措施</w:t>
            </w:r>
          </w:p>
        </w:tc>
        <w:tc>
          <w:tcPr>
            <w:tcW w:w="7586" w:type="dxa"/>
            <w:gridSpan w:val="3"/>
            <w:noWrap w:val="0"/>
            <w:vAlign w:val="center"/>
          </w:tcPr>
          <w:p>
            <w:pPr>
              <w:adjustRightInd w:val="0"/>
              <w:snapToGrid w:val="0"/>
              <w:jc w:val="center"/>
              <w:rPr>
                <w:color w:val="auto"/>
                <w:sz w:val="24"/>
              </w:rPr>
            </w:pPr>
            <w:r>
              <w:rPr>
                <w:color w:val="auto"/>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65" w:hRule="atLeast"/>
          <w:jc w:val="center"/>
        </w:trPr>
        <w:tc>
          <w:tcPr>
            <w:tcW w:w="1215" w:type="dxa"/>
            <w:noWrap w:val="0"/>
            <w:vAlign w:val="center"/>
          </w:tcPr>
          <w:p>
            <w:pPr>
              <w:adjustRightInd w:val="0"/>
              <w:snapToGrid w:val="0"/>
              <w:jc w:val="center"/>
              <w:rPr>
                <w:color w:val="auto"/>
                <w:spacing w:val="-8"/>
                <w:sz w:val="24"/>
              </w:rPr>
            </w:pPr>
            <w:r>
              <w:rPr>
                <w:color w:val="auto"/>
                <w:spacing w:val="-8"/>
                <w:sz w:val="24"/>
              </w:rPr>
              <w:t>其他环境</w:t>
            </w:r>
          </w:p>
          <w:p>
            <w:pPr>
              <w:adjustRightInd w:val="0"/>
              <w:snapToGrid w:val="0"/>
              <w:jc w:val="center"/>
              <w:rPr>
                <w:color w:val="auto"/>
                <w:spacing w:val="-8"/>
                <w:sz w:val="24"/>
              </w:rPr>
            </w:pPr>
            <w:r>
              <w:rPr>
                <w:color w:val="auto"/>
                <w:spacing w:val="-8"/>
                <w:sz w:val="24"/>
              </w:rPr>
              <w:t>管理要求</w:t>
            </w:r>
          </w:p>
        </w:tc>
        <w:tc>
          <w:tcPr>
            <w:tcW w:w="7586" w:type="dxa"/>
            <w:gridSpan w:val="3"/>
            <w:noWrap w:val="0"/>
            <w:vAlign w:val="center"/>
          </w:tcPr>
          <w:p>
            <w:pPr>
              <w:adjustRightInd w:val="0"/>
              <w:snapToGrid w:val="0"/>
              <w:spacing w:line="360" w:lineRule="auto"/>
              <w:ind w:firstLine="480" w:firstLineChars="200"/>
              <w:rPr>
                <w:color w:val="auto"/>
                <w:sz w:val="24"/>
              </w:rPr>
            </w:pPr>
            <w:r>
              <w:rPr>
                <w:color w:val="auto"/>
                <w:sz w:val="24"/>
              </w:rPr>
              <w:t>本项目建成后应根据《排污许可管理条例》和《固定源排污许可分类管理名录（2019年版）》在全国排污许可证管理信息平台（公开端）申领排污许可证，根据《排放口规范化整治技术要求（试行）》《排污单位编码规则》（HJ 608-2017）、《黑龙江省污染源排污口规范化设置导则》等文件要求设置规范化排污口并定期开展自行监测。</w:t>
            </w:r>
          </w:p>
          <w:p>
            <w:pPr>
              <w:adjustRightInd w:val="0"/>
              <w:snapToGrid w:val="0"/>
              <w:spacing w:line="360" w:lineRule="auto"/>
              <w:ind w:firstLine="480" w:firstLineChars="200"/>
              <w:rPr>
                <w:color w:val="auto"/>
                <w:sz w:val="24"/>
              </w:rPr>
            </w:pPr>
            <w:r>
              <w:rPr>
                <w:color w:val="auto"/>
                <w:sz w:val="24"/>
              </w:rPr>
              <w:t>建立日常档案，做好环保统计，并及时处理可能出现的环境污染问题，做好废气处理设施运行记录台账和固体废物处置记录台账。</w:t>
            </w:r>
          </w:p>
          <w:p>
            <w:pPr>
              <w:adjustRightInd w:val="0"/>
              <w:snapToGrid w:val="0"/>
              <w:ind w:firstLine="480" w:firstLineChars="200"/>
              <w:rPr>
                <w:color w:val="auto"/>
                <w:sz w:val="24"/>
              </w:rPr>
            </w:pPr>
          </w:p>
          <w:p>
            <w:pPr>
              <w:adjustRightInd w:val="0"/>
              <w:snapToGrid w:val="0"/>
              <w:ind w:firstLine="480" w:firstLineChars="200"/>
              <w:rPr>
                <w:color w:val="auto"/>
                <w:sz w:val="24"/>
              </w:rPr>
            </w:pPr>
          </w:p>
          <w:p>
            <w:pPr>
              <w:adjustRightInd w:val="0"/>
              <w:snapToGrid w:val="0"/>
              <w:ind w:firstLine="480" w:firstLineChars="200"/>
              <w:rPr>
                <w:color w:val="auto"/>
                <w:sz w:val="24"/>
              </w:rPr>
            </w:pPr>
          </w:p>
          <w:p>
            <w:pPr>
              <w:adjustRightInd w:val="0"/>
              <w:snapToGrid w:val="0"/>
              <w:ind w:firstLine="480" w:firstLineChars="200"/>
              <w:rPr>
                <w:color w:val="auto"/>
                <w:sz w:val="24"/>
              </w:rPr>
            </w:pPr>
          </w:p>
          <w:p>
            <w:pPr>
              <w:adjustRightInd w:val="0"/>
              <w:snapToGrid w:val="0"/>
              <w:ind w:firstLine="480" w:firstLineChars="200"/>
              <w:rPr>
                <w:color w:val="auto"/>
                <w:sz w:val="24"/>
              </w:rPr>
            </w:pPr>
          </w:p>
          <w:p>
            <w:pPr>
              <w:adjustRightInd w:val="0"/>
              <w:snapToGrid w:val="0"/>
              <w:ind w:firstLine="480" w:firstLineChars="200"/>
              <w:rPr>
                <w:color w:val="auto"/>
                <w:sz w:val="24"/>
              </w:rPr>
            </w:pPr>
          </w:p>
          <w:p>
            <w:pPr>
              <w:adjustRightInd w:val="0"/>
              <w:snapToGrid w:val="0"/>
              <w:ind w:firstLine="480" w:firstLineChars="200"/>
              <w:rPr>
                <w:color w:val="auto"/>
                <w:sz w:val="24"/>
              </w:rPr>
            </w:pPr>
          </w:p>
          <w:p>
            <w:pPr>
              <w:adjustRightInd w:val="0"/>
              <w:snapToGrid w:val="0"/>
              <w:ind w:firstLine="480" w:firstLineChars="200"/>
              <w:rPr>
                <w:color w:val="auto"/>
                <w:sz w:val="24"/>
              </w:rPr>
            </w:pPr>
          </w:p>
          <w:p>
            <w:pPr>
              <w:adjustRightInd w:val="0"/>
              <w:snapToGrid w:val="0"/>
              <w:rPr>
                <w:rFonts w:hint="eastAsia"/>
                <w:color w:val="auto"/>
                <w:sz w:val="24"/>
              </w:rPr>
            </w:pPr>
          </w:p>
          <w:p>
            <w:pPr>
              <w:adjustRightInd w:val="0"/>
              <w:snapToGrid w:val="0"/>
              <w:rPr>
                <w:rFonts w:hint="eastAsia"/>
                <w:color w:val="auto"/>
                <w:sz w:val="24"/>
              </w:rPr>
            </w:pPr>
          </w:p>
          <w:p>
            <w:pPr>
              <w:adjustRightInd w:val="0"/>
              <w:snapToGrid w:val="0"/>
              <w:rPr>
                <w:color w:val="auto"/>
                <w:sz w:val="24"/>
              </w:rPr>
            </w:pPr>
          </w:p>
          <w:p>
            <w:pPr>
              <w:adjustRightInd w:val="0"/>
              <w:snapToGrid w:val="0"/>
              <w:rPr>
                <w:color w:val="auto"/>
              </w:rPr>
            </w:pPr>
          </w:p>
        </w:tc>
      </w:tr>
    </w:tbl>
    <w:p>
      <w:pPr>
        <w:pStyle w:val="12"/>
        <w:jc w:val="center"/>
        <w:outlineLvl w:val="0"/>
        <w:rPr>
          <w:rFonts w:ascii="Times New Roman" w:hAnsi="Times New Roman"/>
          <w:snapToGrid w:val="0"/>
          <w:color w:val="auto"/>
          <w:sz w:val="30"/>
          <w:szCs w:val="30"/>
        </w:rPr>
      </w:pPr>
      <w:r>
        <w:rPr>
          <w:rFonts w:ascii="Times New Roman" w:hAnsi="Times New Roman"/>
          <w:snapToGrid w:val="0"/>
          <w:color w:val="auto"/>
        </w:rPr>
        <w:br w:type="page"/>
      </w:r>
      <w:bookmarkStart w:id="18" w:name="_Toc152227245"/>
      <w:r>
        <w:rPr>
          <w:rFonts w:ascii="Times New Roman" w:hAnsi="Times New Roman"/>
          <w:snapToGrid w:val="0"/>
          <w:color w:val="auto"/>
          <w:sz w:val="30"/>
          <w:szCs w:val="30"/>
        </w:rPr>
        <w:t>六、结论</w:t>
      </w:r>
      <w:bookmarkEnd w:id="18"/>
    </w:p>
    <w:tbl>
      <w:tblPr>
        <w:tblStyle w:val="1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pPr>
              <w:spacing w:line="360" w:lineRule="auto"/>
              <w:ind w:firstLine="480" w:firstLineChars="200"/>
              <w:rPr>
                <w:color w:val="auto"/>
                <w:sz w:val="24"/>
              </w:rPr>
            </w:pPr>
            <w:r>
              <w:rPr>
                <w:color w:val="auto"/>
                <w:sz w:val="24"/>
              </w:rPr>
              <w:t>本项目符合国家产业政策</w:t>
            </w:r>
            <w:r>
              <w:rPr>
                <w:rFonts w:hint="eastAsia"/>
                <w:color w:val="auto"/>
                <w:sz w:val="24"/>
              </w:rPr>
              <w:t>和</w:t>
            </w:r>
            <w:r>
              <w:rPr>
                <w:color w:val="auto"/>
                <w:sz w:val="24"/>
              </w:rPr>
              <w:t>“三线一单”要求</w:t>
            </w:r>
            <w:r>
              <w:rPr>
                <w:rFonts w:hint="eastAsia"/>
                <w:color w:val="auto"/>
                <w:sz w:val="24"/>
              </w:rPr>
              <w:t>，</w:t>
            </w:r>
            <w:r>
              <w:rPr>
                <w:color w:val="auto"/>
                <w:sz w:val="24"/>
              </w:rPr>
              <w:t>环保治理措施技术可行</w:t>
            </w:r>
            <w:r>
              <w:rPr>
                <w:rFonts w:hint="eastAsia"/>
                <w:color w:val="auto"/>
                <w:sz w:val="24"/>
              </w:rPr>
              <w:t>，</w:t>
            </w:r>
            <w:r>
              <w:rPr>
                <w:color w:val="auto"/>
                <w:sz w:val="24"/>
              </w:rPr>
              <w:t>逐一落实本报告提出的污染治理措施</w:t>
            </w:r>
            <w:r>
              <w:rPr>
                <w:rFonts w:hint="eastAsia"/>
                <w:color w:val="auto"/>
                <w:sz w:val="24"/>
              </w:rPr>
              <w:t>后，</w:t>
            </w:r>
            <w:r>
              <w:rPr>
                <w:color w:val="auto"/>
                <w:sz w:val="24"/>
              </w:rPr>
              <w:t>污染物</w:t>
            </w:r>
            <w:r>
              <w:rPr>
                <w:rFonts w:hint="eastAsia"/>
                <w:color w:val="auto"/>
                <w:sz w:val="24"/>
              </w:rPr>
              <w:t>可</w:t>
            </w:r>
            <w:r>
              <w:rPr>
                <w:color w:val="auto"/>
                <w:sz w:val="24"/>
              </w:rPr>
              <w:t>达标排放。因此，本项目环境影响可行。</w:t>
            </w:r>
          </w:p>
          <w:p>
            <w:pPr>
              <w:spacing w:line="360" w:lineRule="auto"/>
              <w:rPr>
                <w:color w:val="auto"/>
                <w:sz w:val="24"/>
              </w:rPr>
            </w:pPr>
          </w:p>
        </w:tc>
      </w:tr>
    </w:tbl>
    <w:p>
      <w:pPr>
        <w:rPr>
          <w:color w:val="auto"/>
        </w:rPr>
        <w:sectPr>
          <w:pgSz w:w="11906" w:h="16838"/>
          <w:pgMar w:top="1701" w:right="1531" w:bottom="1701" w:left="1531" w:header="851" w:footer="851" w:gutter="0"/>
          <w:cols w:space="720" w:num="1"/>
          <w:docGrid w:linePitch="312" w:charSpace="0"/>
        </w:sectPr>
      </w:pPr>
    </w:p>
    <w:p>
      <w:pPr>
        <w:pStyle w:val="12"/>
        <w:adjustRightInd w:val="0"/>
        <w:snapToGrid w:val="0"/>
        <w:spacing w:before="0" w:beforeAutospacing="0" w:after="0" w:afterAutospacing="0"/>
        <w:outlineLvl w:val="0"/>
        <w:rPr>
          <w:rFonts w:ascii="Times New Roman" w:hAnsi="Times New Roman"/>
          <w:snapToGrid w:val="0"/>
          <w:color w:val="auto"/>
          <w:sz w:val="32"/>
          <w:szCs w:val="32"/>
        </w:rPr>
      </w:pPr>
      <w:bookmarkStart w:id="19" w:name="_Toc152227246"/>
      <w:bookmarkStart w:id="20" w:name="_Hlk151995436"/>
      <w:r>
        <w:rPr>
          <w:rFonts w:ascii="Times New Roman" w:hAnsi="Times New Roman"/>
          <w:snapToGrid w:val="0"/>
          <w:color w:val="auto"/>
          <w:sz w:val="32"/>
          <w:szCs w:val="32"/>
        </w:rPr>
        <w:t>附表</w:t>
      </w:r>
      <w:bookmarkEnd w:id="19"/>
    </w:p>
    <w:p>
      <w:pPr>
        <w:pStyle w:val="12"/>
        <w:adjustRightInd w:val="0"/>
        <w:snapToGrid w:val="0"/>
        <w:spacing w:before="0" w:beforeAutospacing="0" w:after="0" w:afterAutospacing="0"/>
        <w:jc w:val="center"/>
        <w:outlineLvl w:val="0"/>
        <w:rPr>
          <w:rFonts w:ascii="Times New Roman" w:hAnsi="Times New Roman"/>
          <w:snapToGrid w:val="0"/>
          <w:color w:val="auto"/>
          <w:sz w:val="38"/>
          <w:szCs w:val="38"/>
        </w:rPr>
      </w:pPr>
      <w:bookmarkStart w:id="21" w:name="_Toc152227247"/>
      <w:r>
        <w:rPr>
          <w:rFonts w:ascii="Times New Roman" w:hAnsi="Times New Roman"/>
          <w:snapToGrid w:val="0"/>
          <w:color w:val="auto"/>
          <w:sz w:val="38"/>
          <w:szCs w:val="38"/>
        </w:rPr>
        <w:t>建设项目污染物排放量汇总表</w:t>
      </w:r>
      <w:bookmarkEnd w:id="21"/>
    </w:p>
    <w:tbl>
      <w:tblPr>
        <w:tblStyle w:val="15"/>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1474"/>
        <w:gridCol w:w="864"/>
        <w:gridCol w:w="734"/>
        <w:gridCol w:w="751"/>
        <w:gridCol w:w="926"/>
        <w:gridCol w:w="839"/>
        <w:gridCol w:w="1013"/>
        <w:gridCol w:w="8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50" w:type="pct"/>
            <w:tcBorders>
              <w:tl2br w:val="single" w:color="auto" w:sz="4" w:space="0"/>
            </w:tcBorders>
            <w:noWrap w:val="0"/>
            <w:tcMar>
              <w:left w:w="28" w:type="dxa"/>
              <w:right w:w="28" w:type="dxa"/>
            </w:tcMar>
            <w:vAlign w:val="center"/>
          </w:tcPr>
          <w:p>
            <w:pPr>
              <w:pStyle w:val="30"/>
              <w:spacing w:beforeLines="0" w:afterLines="0" w:line="240" w:lineRule="auto"/>
              <w:jc w:val="right"/>
              <w:rPr>
                <w:rFonts w:ascii="Times New Roman"/>
                <w:snapToGrid w:val="0"/>
                <w:color w:val="auto"/>
                <w:spacing w:val="-6"/>
                <w:kern w:val="21"/>
                <w:sz w:val="24"/>
                <w:szCs w:val="24"/>
                <w:lang w:val="en-US" w:eastAsia="zh-CN"/>
              </w:rPr>
            </w:pPr>
            <w:r>
              <w:rPr>
                <w:rFonts w:ascii="Times New Roman"/>
                <w:snapToGrid w:val="0"/>
                <w:color w:val="auto"/>
                <w:spacing w:val="-6"/>
                <w:kern w:val="21"/>
                <w:sz w:val="24"/>
                <w:szCs w:val="24"/>
                <w:lang w:val="en-US" w:eastAsia="zh-CN"/>
              </w:rPr>
              <w:t>项目</w:t>
            </w:r>
          </w:p>
          <w:p>
            <w:pPr>
              <w:pStyle w:val="30"/>
              <w:spacing w:beforeLines="0" w:afterLines="0" w:line="240" w:lineRule="auto"/>
              <w:jc w:val="left"/>
              <w:rPr>
                <w:rFonts w:ascii="Times New Roman"/>
                <w:snapToGrid w:val="0"/>
                <w:color w:val="auto"/>
                <w:spacing w:val="-6"/>
                <w:kern w:val="21"/>
                <w:sz w:val="24"/>
                <w:szCs w:val="24"/>
                <w:lang w:val="en-US" w:eastAsia="zh-CN"/>
              </w:rPr>
            </w:pPr>
            <w:r>
              <w:rPr>
                <w:rFonts w:ascii="Times New Roman"/>
                <w:snapToGrid w:val="0"/>
                <w:color w:val="auto"/>
                <w:spacing w:val="-6"/>
                <w:kern w:val="21"/>
                <w:sz w:val="24"/>
                <w:szCs w:val="24"/>
                <w:lang w:val="en-US" w:eastAsia="zh-CN"/>
              </w:rPr>
              <w:t>分类</w:t>
            </w:r>
          </w:p>
        </w:tc>
        <w:tc>
          <w:tcPr>
            <w:tcW w:w="906" w:type="pct"/>
            <w:noWrap w:val="0"/>
            <w:tcMar>
              <w:left w:w="28" w:type="dxa"/>
              <w:right w:w="28" w:type="dxa"/>
            </w:tcMar>
            <w:vAlign w:val="center"/>
          </w:tcPr>
          <w:p>
            <w:pPr>
              <w:pStyle w:val="30"/>
              <w:spacing w:beforeLines="0" w:afterLines="0" w:line="240" w:lineRule="auto"/>
              <w:rPr>
                <w:rFonts w:ascii="Times New Roman"/>
                <w:snapToGrid w:val="0"/>
                <w:color w:val="auto"/>
                <w:spacing w:val="-6"/>
                <w:kern w:val="21"/>
                <w:sz w:val="24"/>
                <w:szCs w:val="24"/>
                <w:lang w:val="en-US" w:eastAsia="zh-CN"/>
              </w:rPr>
            </w:pPr>
            <w:r>
              <w:rPr>
                <w:rFonts w:ascii="Times New Roman"/>
                <w:snapToGrid w:val="0"/>
                <w:color w:val="auto"/>
                <w:spacing w:val="-6"/>
                <w:kern w:val="21"/>
                <w:sz w:val="24"/>
                <w:szCs w:val="24"/>
                <w:lang w:val="en-US" w:eastAsia="zh-CN"/>
              </w:rPr>
              <w:t>污染物名称</w:t>
            </w:r>
          </w:p>
        </w:tc>
        <w:tc>
          <w:tcPr>
            <w:tcW w:w="541" w:type="pct"/>
            <w:noWrap w:val="0"/>
            <w:tcMar>
              <w:left w:w="28" w:type="dxa"/>
              <w:right w:w="28" w:type="dxa"/>
            </w:tcMar>
            <w:vAlign w:val="center"/>
          </w:tcPr>
          <w:p>
            <w:pPr>
              <w:pStyle w:val="30"/>
              <w:spacing w:beforeLines="0" w:afterLines="0" w:line="240" w:lineRule="auto"/>
              <w:rPr>
                <w:rFonts w:ascii="Times New Roman"/>
                <w:snapToGrid w:val="0"/>
                <w:color w:val="auto"/>
                <w:spacing w:val="-6"/>
                <w:kern w:val="21"/>
                <w:sz w:val="24"/>
                <w:szCs w:val="24"/>
                <w:lang w:val="en-US" w:eastAsia="zh-CN"/>
              </w:rPr>
            </w:pPr>
            <w:r>
              <w:rPr>
                <w:rFonts w:ascii="Times New Roman"/>
                <w:snapToGrid w:val="0"/>
                <w:color w:val="auto"/>
                <w:spacing w:val="-6"/>
                <w:kern w:val="21"/>
                <w:sz w:val="24"/>
                <w:szCs w:val="24"/>
                <w:lang w:val="en-US" w:eastAsia="zh-CN"/>
              </w:rPr>
              <w:t>现有工程</w:t>
            </w:r>
          </w:p>
          <w:p>
            <w:pPr>
              <w:pStyle w:val="30"/>
              <w:spacing w:beforeLines="0" w:afterLines="0" w:line="240" w:lineRule="auto"/>
              <w:rPr>
                <w:rFonts w:ascii="Times New Roman"/>
                <w:snapToGrid w:val="0"/>
                <w:color w:val="auto"/>
                <w:spacing w:val="-6"/>
                <w:kern w:val="21"/>
                <w:sz w:val="24"/>
                <w:szCs w:val="24"/>
                <w:lang w:val="en-US" w:eastAsia="zh-CN"/>
              </w:rPr>
            </w:pPr>
            <w:r>
              <w:rPr>
                <w:rFonts w:ascii="Times New Roman"/>
                <w:snapToGrid w:val="0"/>
                <w:color w:val="auto"/>
                <w:spacing w:val="-6"/>
                <w:kern w:val="21"/>
                <w:sz w:val="24"/>
                <w:szCs w:val="24"/>
                <w:lang w:val="en-US" w:eastAsia="zh-CN"/>
              </w:rPr>
              <w:t>排放量（固体废物产生量）（t/a）</w:t>
            </w:r>
            <w:r>
              <w:rPr>
                <w:rFonts w:ascii="Times New Roman"/>
                <w:snapToGrid w:val="0"/>
                <w:color w:val="auto"/>
                <w:spacing w:val="-6"/>
                <w:kern w:val="21"/>
                <w:sz w:val="24"/>
                <w:szCs w:val="24"/>
                <w:lang w:val="en-US" w:eastAsia="zh-CN"/>
              </w:rPr>
              <w:fldChar w:fldCharType="begin"/>
            </w:r>
            <w:r>
              <w:rPr>
                <w:rFonts w:ascii="Times New Roman"/>
                <w:snapToGrid w:val="0"/>
                <w:color w:val="auto"/>
                <w:spacing w:val="-6"/>
                <w:kern w:val="21"/>
                <w:sz w:val="24"/>
                <w:szCs w:val="24"/>
                <w:lang w:val="en-US" w:eastAsia="zh-CN"/>
              </w:rPr>
              <w:instrText xml:space="preserve"> = 1 \* GB3 \* MERGEFORMAT </w:instrText>
            </w:r>
            <w:r>
              <w:rPr>
                <w:rFonts w:ascii="Times New Roman"/>
                <w:snapToGrid w:val="0"/>
                <w:color w:val="auto"/>
                <w:spacing w:val="-6"/>
                <w:kern w:val="21"/>
                <w:sz w:val="24"/>
                <w:szCs w:val="24"/>
                <w:lang w:val="en-US" w:eastAsia="zh-CN"/>
              </w:rPr>
              <w:fldChar w:fldCharType="separate"/>
            </w:r>
            <w:r>
              <w:rPr>
                <w:rFonts w:hint="eastAsia" w:hAnsi="宋体" w:cs="宋体"/>
                <w:color w:val="auto"/>
                <w:kern w:val="2"/>
                <w:sz w:val="24"/>
                <w:szCs w:val="24"/>
                <w:lang w:val="en-US" w:eastAsia="zh-CN"/>
              </w:rPr>
              <w:t>①</w:t>
            </w:r>
            <w:r>
              <w:rPr>
                <w:rFonts w:ascii="Times New Roman"/>
                <w:snapToGrid w:val="0"/>
                <w:color w:val="auto"/>
                <w:spacing w:val="-6"/>
                <w:kern w:val="21"/>
                <w:sz w:val="24"/>
                <w:szCs w:val="24"/>
                <w:lang w:val="en-US" w:eastAsia="zh-CN"/>
              </w:rPr>
              <w:fldChar w:fldCharType="end"/>
            </w:r>
          </w:p>
        </w:tc>
        <w:tc>
          <w:tcPr>
            <w:tcW w:w="431" w:type="pct"/>
            <w:noWrap w:val="0"/>
            <w:tcMar>
              <w:left w:w="28" w:type="dxa"/>
              <w:right w:w="28" w:type="dxa"/>
            </w:tcMar>
            <w:vAlign w:val="center"/>
          </w:tcPr>
          <w:p>
            <w:pPr>
              <w:pStyle w:val="30"/>
              <w:spacing w:beforeLines="0" w:afterLines="0" w:line="240" w:lineRule="auto"/>
              <w:rPr>
                <w:rFonts w:ascii="Times New Roman"/>
                <w:snapToGrid w:val="0"/>
                <w:color w:val="auto"/>
                <w:spacing w:val="-6"/>
                <w:kern w:val="21"/>
                <w:sz w:val="24"/>
                <w:szCs w:val="24"/>
                <w:lang w:val="en-US" w:eastAsia="zh-CN"/>
              </w:rPr>
            </w:pPr>
            <w:r>
              <w:rPr>
                <w:rFonts w:ascii="Times New Roman"/>
                <w:snapToGrid w:val="0"/>
                <w:color w:val="auto"/>
                <w:spacing w:val="-6"/>
                <w:kern w:val="21"/>
                <w:sz w:val="24"/>
                <w:szCs w:val="24"/>
                <w:lang w:val="en-US" w:eastAsia="zh-CN"/>
              </w:rPr>
              <w:t>现有工程</w:t>
            </w:r>
          </w:p>
          <w:p>
            <w:pPr>
              <w:pStyle w:val="30"/>
              <w:spacing w:beforeLines="0" w:afterLines="0" w:line="240" w:lineRule="auto"/>
              <w:rPr>
                <w:rFonts w:ascii="Times New Roman"/>
                <w:snapToGrid w:val="0"/>
                <w:color w:val="auto"/>
                <w:spacing w:val="-6"/>
                <w:kern w:val="21"/>
                <w:sz w:val="24"/>
                <w:szCs w:val="24"/>
                <w:lang w:val="en-US" w:eastAsia="zh-CN"/>
              </w:rPr>
            </w:pPr>
            <w:r>
              <w:rPr>
                <w:rFonts w:ascii="Times New Roman"/>
                <w:snapToGrid w:val="0"/>
                <w:color w:val="auto"/>
                <w:spacing w:val="-6"/>
                <w:kern w:val="21"/>
                <w:sz w:val="24"/>
                <w:szCs w:val="24"/>
                <w:lang w:val="en-US" w:eastAsia="zh-CN"/>
              </w:rPr>
              <w:t>许可排放量（t/a）</w:t>
            </w:r>
          </w:p>
          <w:p>
            <w:pPr>
              <w:pStyle w:val="30"/>
              <w:spacing w:beforeLines="0" w:afterLines="0"/>
              <w:rPr>
                <w:rFonts w:ascii="Times New Roman"/>
                <w:snapToGrid w:val="0"/>
                <w:color w:val="auto"/>
                <w:spacing w:val="-6"/>
                <w:kern w:val="21"/>
                <w:sz w:val="24"/>
                <w:szCs w:val="24"/>
                <w:lang w:val="en-US" w:eastAsia="zh-CN"/>
              </w:rPr>
            </w:pPr>
            <w:r>
              <w:rPr>
                <w:rFonts w:ascii="Times New Roman"/>
                <w:snapToGrid w:val="0"/>
                <w:color w:val="auto"/>
                <w:spacing w:val="-6"/>
                <w:kern w:val="21"/>
                <w:sz w:val="24"/>
                <w:szCs w:val="24"/>
                <w:lang w:val="en-US" w:eastAsia="zh-CN"/>
              </w:rPr>
              <w:fldChar w:fldCharType="begin"/>
            </w:r>
            <w:r>
              <w:rPr>
                <w:rFonts w:ascii="Times New Roman"/>
                <w:snapToGrid w:val="0"/>
                <w:color w:val="auto"/>
                <w:spacing w:val="-6"/>
                <w:kern w:val="21"/>
                <w:sz w:val="24"/>
                <w:szCs w:val="24"/>
                <w:lang w:val="en-US" w:eastAsia="zh-CN"/>
              </w:rPr>
              <w:instrText xml:space="preserve"> = 2 \* GB3 \* MERGEFORMAT </w:instrText>
            </w:r>
            <w:r>
              <w:rPr>
                <w:rFonts w:ascii="Times New Roman"/>
                <w:snapToGrid w:val="0"/>
                <w:color w:val="auto"/>
                <w:spacing w:val="-6"/>
                <w:kern w:val="21"/>
                <w:sz w:val="24"/>
                <w:szCs w:val="24"/>
                <w:lang w:val="en-US" w:eastAsia="zh-CN"/>
              </w:rPr>
              <w:fldChar w:fldCharType="separate"/>
            </w:r>
            <w:r>
              <w:rPr>
                <w:rFonts w:hint="eastAsia" w:hAnsi="宋体" w:cs="宋体"/>
                <w:snapToGrid w:val="0"/>
                <w:color w:val="auto"/>
                <w:spacing w:val="-6"/>
                <w:kern w:val="21"/>
                <w:sz w:val="24"/>
                <w:szCs w:val="24"/>
                <w:lang w:val="en-US" w:eastAsia="zh-CN"/>
              </w:rPr>
              <w:t>②</w:t>
            </w:r>
            <w:r>
              <w:rPr>
                <w:rFonts w:ascii="Times New Roman"/>
                <w:snapToGrid w:val="0"/>
                <w:color w:val="auto"/>
                <w:spacing w:val="-6"/>
                <w:kern w:val="21"/>
                <w:sz w:val="24"/>
                <w:szCs w:val="24"/>
                <w:lang w:val="en-US" w:eastAsia="zh-CN"/>
              </w:rPr>
              <w:fldChar w:fldCharType="end"/>
            </w:r>
          </w:p>
        </w:tc>
        <w:tc>
          <w:tcPr>
            <w:tcW w:w="473" w:type="pct"/>
            <w:noWrap w:val="0"/>
            <w:tcMar>
              <w:left w:w="28" w:type="dxa"/>
              <w:right w:w="28" w:type="dxa"/>
            </w:tcMar>
            <w:vAlign w:val="center"/>
          </w:tcPr>
          <w:p>
            <w:pPr>
              <w:pStyle w:val="30"/>
              <w:spacing w:beforeLines="0" w:afterLines="0" w:line="240" w:lineRule="auto"/>
              <w:rPr>
                <w:rFonts w:ascii="Times New Roman"/>
                <w:snapToGrid w:val="0"/>
                <w:color w:val="auto"/>
                <w:spacing w:val="-6"/>
                <w:kern w:val="21"/>
                <w:sz w:val="24"/>
                <w:szCs w:val="24"/>
                <w:lang w:val="en-US" w:eastAsia="zh-CN"/>
              </w:rPr>
            </w:pPr>
            <w:r>
              <w:rPr>
                <w:rFonts w:ascii="Times New Roman"/>
                <w:snapToGrid w:val="0"/>
                <w:color w:val="auto"/>
                <w:spacing w:val="-6"/>
                <w:kern w:val="21"/>
                <w:sz w:val="24"/>
                <w:szCs w:val="24"/>
                <w:lang w:val="en-US" w:eastAsia="zh-CN"/>
              </w:rPr>
              <w:t>在建工程</w:t>
            </w:r>
          </w:p>
          <w:p>
            <w:pPr>
              <w:pStyle w:val="30"/>
              <w:spacing w:beforeLines="0" w:afterLines="0" w:line="240" w:lineRule="auto"/>
              <w:rPr>
                <w:rFonts w:ascii="Times New Roman"/>
                <w:snapToGrid w:val="0"/>
                <w:color w:val="auto"/>
                <w:spacing w:val="-6"/>
                <w:kern w:val="21"/>
                <w:sz w:val="24"/>
                <w:szCs w:val="24"/>
                <w:lang w:val="en-US" w:eastAsia="zh-CN"/>
              </w:rPr>
            </w:pPr>
            <w:r>
              <w:rPr>
                <w:rFonts w:ascii="Times New Roman"/>
                <w:snapToGrid w:val="0"/>
                <w:color w:val="auto"/>
                <w:spacing w:val="-6"/>
                <w:kern w:val="21"/>
                <w:sz w:val="24"/>
                <w:szCs w:val="24"/>
                <w:lang w:val="en-US" w:eastAsia="zh-CN"/>
              </w:rPr>
              <w:t>排放量（固体废物产生量）</w:t>
            </w:r>
            <w:r>
              <w:rPr>
                <w:rFonts w:ascii="Times New Roman"/>
                <w:snapToGrid w:val="0"/>
                <w:color w:val="auto"/>
                <w:spacing w:val="-6"/>
                <w:kern w:val="21"/>
                <w:sz w:val="24"/>
                <w:szCs w:val="24"/>
                <w:lang w:val="en-US" w:eastAsia="zh-CN"/>
              </w:rPr>
              <w:fldChar w:fldCharType="begin"/>
            </w:r>
            <w:r>
              <w:rPr>
                <w:rFonts w:ascii="Times New Roman"/>
                <w:snapToGrid w:val="0"/>
                <w:color w:val="auto"/>
                <w:spacing w:val="-6"/>
                <w:kern w:val="21"/>
                <w:sz w:val="24"/>
                <w:szCs w:val="24"/>
                <w:lang w:val="en-US" w:eastAsia="zh-CN"/>
              </w:rPr>
              <w:instrText xml:space="preserve"> = 3 \* GB3 \* MERGEFORMAT </w:instrText>
            </w:r>
            <w:r>
              <w:rPr>
                <w:rFonts w:ascii="Times New Roman"/>
                <w:snapToGrid w:val="0"/>
                <w:color w:val="auto"/>
                <w:spacing w:val="-6"/>
                <w:kern w:val="21"/>
                <w:sz w:val="24"/>
                <w:szCs w:val="24"/>
                <w:lang w:val="en-US" w:eastAsia="zh-CN"/>
              </w:rPr>
              <w:fldChar w:fldCharType="separate"/>
            </w:r>
            <w:r>
              <w:rPr>
                <w:rFonts w:hint="eastAsia" w:hAnsi="宋体" w:cs="宋体"/>
                <w:color w:val="auto"/>
                <w:kern w:val="2"/>
                <w:sz w:val="24"/>
                <w:szCs w:val="24"/>
                <w:lang w:val="en-US" w:eastAsia="zh-CN"/>
              </w:rPr>
              <w:t>③</w:t>
            </w:r>
            <w:r>
              <w:rPr>
                <w:rFonts w:ascii="Times New Roman"/>
                <w:snapToGrid w:val="0"/>
                <w:color w:val="auto"/>
                <w:spacing w:val="-6"/>
                <w:kern w:val="21"/>
                <w:sz w:val="24"/>
                <w:szCs w:val="24"/>
                <w:lang w:val="en-US" w:eastAsia="zh-CN"/>
              </w:rPr>
              <w:fldChar w:fldCharType="end"/>
            </w:r>
          </w:p>
        </w:tc>
        <w:tc>
          <w:tcPr>
            <w:tcW w:w="578" w:type="pct"/>
            <w:noWrap w:val="0"/>
            <w:tcMar>
              <w:left w:w="28" w:type="dxa"/>
              <w:right w:w="28" w:type="dxa"/>
            </w:tcMar>
            <w:vAlign w:val="center"/>
          </w:tcPr>
          <w:p>
            <w:pPr>
              <w:pStyle w:val="30"/>
              <w:spacing w:beforeLines="0" w:afterLines="0" w:line="240" w:lineRule="auto"/>
              <w:rPr>
                <w:rFonts w:ascii="Times New Roman"/>
                <w:snapToGrid w:val="0"/>
                <w:color w:val="auto"/>
                <w:spacing w:val="-6"/>
                <w:kern w:val="21"/>
                <w:sz w:val="24"/>
                <w:szCs w:val="24"/>
                <w:lang w:val="en-US" w:eastAsia="zh-CN"/>
              </w:rPr>
            </w:pPr>
            <w:r>
              <w:rPr>
                <w:rFonts w:ascii="Times New Roman"/>
                <w:snapToGrid w:val="0"/>
                <w:color w:val="auto"/>
                <w:spacing w:val="-6"/>
                <w:kern w:val="21"/>
                <w:sz w:val="24"/>
                <w:szCs w:val="24"/>
                <w:lang w:val="en-US" w:eastAsia="zh-CN"/>
              </w:rPr>
              <w:t>本项目</w:t>
            </w:r>
          </w:p>
          <w:p>
            <w:pPr>
              <w:pStyle w:val="30"/>
              <w:spacing w:beforeLines="0" w:afterLines="0" w:line="240" w:lineRule="auto"/>
              <w:rPr>
                <w:rFonts w:ascii="Times New Roman"/>
                <w:snapToGrid w:val="0"/>
                <w:color w:val="auto"/>
                <w:spacing w:val="-6"/>
                <w:kern w:val="21"/>
                <w:sz w:val="24"/>
                <w:szCs w:val="24"/>
                <w:lang w:val="en-US" w:eastAsia="zh-CN"/>
              </w:rPr>
            </w:pPr>
            <w:r>
              <w:rPr>
                <w:rFonts w:ascii="Times New Roman"/>
                <w:snapToGrid w:val="0"/>
                <w:color w:val="auto"/>
                <w:spacing w:val="-6"/>
                <w:kern w:val="21"/>
                <w:sz w:val="24"/>
                <w:szCs w:val="24"/>
                <w:lang w:val="en-US" w:eastAsia="zh-CN"/>
              </w:rPr>
              <w:t>排放量（固体废物产生量）（t/a）</w:t>
            </w:r>
            <w:r>
              <w:rPr>
                <w:rFonts w:ascii="Times New Roman"/>
                <w:snapToGrid w:val="0"/>
                <w:color w:val="auto"/>
                <w:spacing w:val="-6"/>
                <w:kern w:val="21"/>
                <w:sz w:val="24"/>
                <w:szCs w:val="24"/>
                <w:lang w:val="en-US" w:eastAsia="zh-CN"/>
              </w:rPr>
              <w:fldChar w:fldCharType="begin"/>
            </w:r>
            <w:r>
              <w:rPr>
                <w:rFonts w:ascii="Times New Roman"/>
                <w:snapToGrid w:val="0"/>
                <w:color w:val="auto"/>
                <w:spacing w:val="-6"/>
                <w:kern w:val="21"/>
                <w:sz w:val="24"/>
                <w:szCs w:val="24"/>
                <w:lang w:val="en-US" w:eastAsia="zh-CN"/>
              </w:rPr>
              <w:instrText xml:space="preserve"> = 4 \* GB3 \* MERGEFORMAT </w:instrText>
            </w:r>
            <w:r>
              <w:rPr>
                <w:rFonts w:ascii="Times New Roman"/>
                <w:snapToGrid w:val="0"/>
                <w:color w:val="auto"/>
                <w:spacing w:val="-6"/>
                <w:kern w:val="21"/>
                <w:sz w:val="24"/>
                <w:szCs w:val="24"/>
                <w:lang w:val="en-US" w:eastAsia="zh-CN"/>
              </w:rPr>
              <w:fldChar w:fldCharType="separate"/>
            </w:r>
            <w:r>
              <w:rPr>
                <w:rFonts w:hint="eastAsia" w:hAnsi="宋体" w:cs="宋体"/>
                <w:color w:val="auto"/>
                <w:kern w:val="2"/>
                <w:sz w:val="24"/>
                <w:szCs w:val="24"/>
                <w:lang w:val="en-US" w:eastAsia="zh-CN"/>
              </w:rPr>
              <w:t>④</w:t>
            </w:r>
            <w:r>
              <w:rPr>
                <w:rFonts w:ascii="Times New Roman"/>
                <w:snapToGrid w:val="0"/>
                <w:color w:val="auto"/>
                <w:spacing w:val="-6"/>
                <w:kern w:val="21"/>
                <w:sz w:val="24"/>
                <w:szCs w:val="24"/>
                <w:lang w:val="en-US" w:eastAsia="zh-CN"/>
              </w:rPr>
              <w:fldChar w:fldCharType="end"/>
            </w:r>
          </w:p>
        </w:tc>
        <w:tc>
          <w:tcPr>
            <w:tcW w:w="526" w:type="pct"/>
            <w:noWrap w:val="0"/>
            <w:tcMar>
              <w:left w:w="28" w:type="dxa"/>
              <w:right w:w="28" w:type="dxa"/>
            </w:tcMar>
            <w:vAlign w:val="center"/>
          </w:tcPr>
          <w:p>
            <w:pPr>
              <w:pStyle w:val="30"/>
              <w:spacing w:beforeLines="0" w:afterLines="0" w:line="240" w:lineRule="auto"/>
              <w:rPr>
                <w:rFonts w:ascii="Times New Roman"/>
                <w:snapToGrid w:val="0"/>
                <w:color w:val="auto"/>
                <w:spacing w:val="-16"/>
                <w:kern w:val="21"/>
                <w:sz w:val="24"/>
                <w:szCs w:val="24"/>
                <w:lang w:val="en-US" w:eastAsia="zh-CN"/>
              </w:rPr>
            </w:pPr>
            <w:r>
              <w:rPr>
                <w:rFonts w:ascii="Times New Roman"/>
                <w:snapToGrid w:val="0"/>
                <w:color w:val="auto"/>
                <w:spacing w:val="-16"/>
                <w:kern w:val="21"/>
                <w:sz w:val="24"/>
                <w:szCs w:val="24"/>
                <w:lang w:val="en-US" w:eastAsia="zh-CN"/>
              </w:rPr>
              <w:t>以新带老削减量</w:t>
            </w:r>
          </w:p>
          <w:p>
            <w:pPr>
              <w:pStyle w:val="30"/>
              <w:spacing w:beforeLines="0" w:afterLines="0" w:line="240" w:lineRule="auto"/>
              <w:rPr>
                <w:rFonts w:ascii="Times New Roman"/>
                <w:snapToGrid w:val="0"/>
                <w:color w:val="auto"/>
                <w:spacing w:val="-16"/>
                <w:kern w:val="21"/>
                <w:sz w:val="24"/>
                <w:szCs w:val="24"/>
                <w:lang w:val="en-US" w:eastAsia="zh-CN"/>
              </w:rPr>
            </w:pPr>
            <w:r>
              <w:rPr>
                <w:rFonts w:ascii="Times New Roman"/>
                <w:snapToGrid w:val="0"/>
                <w:color w:val="auto"/>
                <w:spacing w:val="-16"/>
                <w:kern w:val="21"/>
                <w:sz w:val="24"/>
                <w:szCs w:val="24"/>
                <w:lang w:val="en-US" w:eastAsia="zh-CN"/>
              </w:rPr>
              <w:t>（新建项目不填）</w:t>
            </w:r>
            <w:r>
              <w:rPr>
                <w:rFonts w:ascii="Times New Roman"/>
                <w:snapToGrid w:val="0"/>
                <w:color w:val="auto"/>
                <w:spacing w:val="-16"/>
                <w:kern w:val="21"/>
                <w:sz w:val="24"/>
                <w:szCs w:val="24"/>
                <w:lang w:val="en-US" w:eastAsia="zh-CN"/>
              </w:rPr>
              <w:fldChar w:fldCharType="begin"/>
            </w:r>
            <w:r>
              <w:rPr>
                <w:rFonts w:ascii="Times New Roman"/>
                <w:snapToGrid w:val="0"/>
                <w:color w:val="auto"/>
                <w:spacing w:val="-16"/>
                <w:kern w:val="21"/>
                <w:sz w:val="24"/>
                <w:szCs w:val="24"/>
                <w:lang w:val="en-US" w:eastAsia="zh-CN"/>
              </w:rPr>
              <w:instrText xml:space="preserve"> = 5 \* GB3 \* MERGEFORMAT </w:instrText>
            </w:r>
            <w:r>
              <w:rPr>
                <w:rFonts w:ascii="Times New Roman"/>
                <w:snapToGrid w:val="0"/>
                <w:color w:val="auto"/>
                <w:spacing w:val="-16"/>
                <w:kern w:val="21"/>
                <w:sz w:val="24"/>
                <w:szCs w:val="24"/>
                <w:lang w:val="en-US" w:eastAsia="zh-CN"/>
              </w:rPr>
              <w:fldChar w:fldCharType="separate"/>
            </w:r>
            <w:r>
              <w:rPr>
                <w:rFonts w:hint="eastAsia" w:hAnsi="宋体" w:cs="宋体"/>
                <w:color w:val="auto"/>
                <w:kern w:val="2"/>
                <w:sz w:val="24"/>
                <w:szCs w:val="24"/>
                <w:lang w:val="en-US" w:eastAsia="zh-CN"/>
              </w:rPr>
              <w:t>⑤</w:t>
            </w:r>
            <w:r>
              <w:rPr>
                <w:rFonts w:ascii="Times New Roman"/>
                <w:snapToGrid w:val="0"/>
                <w:color w:val="auto"/>
                <w:spacing w:val="-16"/>
                <w:kern w:val="21"/>
                <w:sz w:val="24"/>
                <w:szCs w:val="24"/>
                <w:lang w:val="en-US" w:eastAsia="zh-CN"/>
              </w:rPr>
              <w:fldChar w:fldCharType="end"/>
            </w:r>
          </w:p>
        </w:tc>
        <w:tc>
          <w:tcPr>
            <w:tcW w:w="630" w:type="pct"/>
            <w:noWrap w:val="0"/>
            <w:tcMar>
              <w:left w:w="28" w:type="dxa"/>
              <w:right w:w="28" w:type="dxa"/>
            </w:tcMar>
            <w:vAlign w:val="center"/>
          </w:tcPr>
          <w:p>
            <w:pPr>
              <w:pStyle w:val="30"/>
              <w:spacing w:beforeLines="0" w:afterLines="0" w:line="240" w:lineRule="auto"/>
              <w:rPr>
                <w:rFonts w:ascii="Times New Roman"/>
                <w:snapToGrid w:val="0"/>
                <w:color w:val="auto"/>
                <w:spacing w:val="-16"/>
                <w:kern w:val="21"/>
                <w:sz w:val="24"/>
                <w:szCs w:val="24"/>
                <w:lang w:val="en-US" w:eastAsia="zh-CN"/>
              </w:rPr>
            </w:pPr>
            <w:r>
              <w:rPr>
                <w:rFonts w:ascii="Times New Roman"/>
                <w:snapToGrid w:val="0"/>
                <w:color w:val="auto"/>
                <w:spacing w:val="-16"/>
                <w:kern w:val="21"/>
                <w:sz w:val="24"/>
                <w:szCs w:val="24"/>
                <w:lang w:val="en-US" w:eastAsia="zh-CN"/>
              </w:rPr>
              <w:t>本项目建成后</w:t>
            </w:r>
          </w:p>
          <w:p>
            <w:pPr>
              <w:pStyle w:val="30"/>
              <w:spacing w:beforeLines="0" w:afterLines="0" w:line="240" w:lineRule="auto"/>
              <w:rPr>
                <w:rFonts w:ascii="Times New Roman"/>
                <w:snapToGrid w:val="0"/>
                <w:color w:val="auto"/>
                <w:spacing w:val="-16"/>
                <w:kern w:val="21"/>
                <w:sz w:val="24"/>
                <w:szCs w:val="24"/>
                <w:lang w:val="en-US" w:eastAsia="zh-CN"/>
              </w:rPr>
            </w:pPr>
            <w:r>
              <w:rPr>
                <w:rFonts w:ascii="Times New Roman"/>
                <w:snapToGrid w:val="0"/>
                <w:color w:val="auto"/>
                <w:spacing w:val="-16"/>
                <w:kern w:val="21"/>
                <w:sz w:val="24"/>
                <w:szCs w:val="24"/>
                <w:lang w:val="en-US" w:eastAsia="zh-CN"/>
              </w:rPr>
              <w:t>全厂排放量（固体废物产生量）（t/a）</w:t>
            </w:r>
            <w:r>
              <w:rPr>
                <w:rFonts w:ascii="Times New Roman"/>
                <w:snapToGrid w:val="0"/>
                <w:color w:val="auto"/>
                <w:spacing w:val="-16"/>
                <w:kern w:val="21"/>
                <w:sz w:val="24"/>
                <w:szCs w:val="24"/>
                <w:lang w:val="en-US" w:eastAsia="zh-CN"/>
              </w:rPr>
              <w:fldChar w:fldCharType="begin"/>
            </w:r>
            <w:r>
              <w:rPr>
                <w:rFonts w:ascii="Times New Roman"/>
                <w:snapToGrid w:val="0"/>
                <w:color w:val="auto"/>
                <w:spacing w:val="-16"/>
                <w:kern w:val="21"/>
                <w:sz w:val="24"/>
                <w:szCs w:val="24"/>
                <w:lang w:val="en-US" w:eastAsia="zh-CN"/>
              </w:rPr>
              <w:instrText xml:space="preserve"> = 6 \* GB3 \* MERGEFORMAT </w:instrText>
            </w:r>
            <w:r>
              <w:rPr>
                <w:rFonts w:ascii="Times New Roman"/>
                <w:snapToGrid w:val="0"/>
                <w:color w:val="auto"/>
                <w:spacing w:val="-16"/>
                <w:kern w:val="21"/>
                <w:sz w:val="24"/>
                <w:szCs w:val="24"/>
                <w:lang w:val="en-US" w:eastAsia="zh-CN"/>
              </w:rPr>
              <w:fldChar w:fldCharType="separate"/>
            </w:r>
            <w:r>
              <w:rPr>
                <w:rFonts w:hint="eastAsia" w:hAnsi="宋体" w:cs="宋体"/>
                <w:color w:val="auto"/>
                <w:kern w:val="2"/>
                <w:sz w:val="24"/>
                <w:szCs w:val="24"/>
                <w:lang w:val="en-US" w:eastAsia="zh-CN"/>
              </w:rPr>
              <w:t>⑥</w:t>
            </w:r>
            <w:r>
              <w:rPr>
                <w:rFonts w:ascii="Times New Roman"/>
                <w:snapToGrid w:val="0"/>
                <w:color w:val="auto"/>
                <w:spacing w:val="-16"/>
                <w:kern w:val="21"/>
                <w:sz w:val="24"/>
                <w:szCs w:val="24"/>
                <w:lang w:val="en-US" w:eastAsia="zh-CN"/>
              </w:rPr>
              <w:fldChar w:fldCharType="end"/>
            </w:r>
          </w:p>
        </w:tc>
        <w:tc>
          <w:tcPr>
            <w:tcW w:w="365" w:type="pct"/>
            <w:noWrap w:val="0"/>
            <w:tcMar>
              <w:left w:w="28" w:type="dxa"/>
              <w:right w:w="28" w:type="dxa"/>
            </w:tcMar>
            <w:vAlign w:val="center"/>
          </w:tcPr>
          <w:p>
            <w:pPr>
              <w:pStyle w:val="30"/>
              <w:spacing w:beforeLines="0" w:afterLines="0" w:line="240" w:lineRule="auto"/>
              <w:rPr>
                <w:rFonts w:ascii="Times New Roman"/>
                <w:snapToGrid w:val="0"/>
                <w:color w:val="auto"/>
                <w:spacing w:val="-6"/>
                <w:kern w:val="21"/>
                <w:sz w:val="24"/>
                <w:szCs w:val="24"/>
                <w:lang w:val="en-US" w:eastAsia="zh-CN"/>
              </w:rPr>
            </w:pPr>
            <w:r>
              <w:rPr>
                <w:rFonts w:ascii="Times New Roman"/>
                <w:snapToGrid w:val="0"/>
                <w:color w:val="auto"/>
                <w:spacing w:val="-6"/>
                <w:kern w:val="21"/>
                <w:sz w:val="24"/>
                <w:szCs w:val="24"/>
                <w:lang w:val="en-US" w:eastAsia="zh-CN"/>
              </w:rPr>
              <w:t>变化量（t/a）</w:t>
            </w:r>
          </w:p>
          <w:p>
            <w:pPr>
              <w:pStyle w:val="30"/>
              <w:spacing w:beforeLines="0" w:afterLines="0" w:line="240" w:lineRule="auto"/>
              <w:rPr>
                <w:rFonts w:ascii="Times New Roman"/>
                <w:snapToGrid w:val="0"/>
                <w:color w:val="auto"/>
                <w:spacing w:val="-6"/>
                <w:kern w:val="21"/>
                <w:sz w:val="24"/>
                <w:szCs w:val="24"/>
                <w:lang w:val="en-US" w:eastAsia="zh-CN"/>
              </w:rPr>
            </w:pPr>
            <w:r>
              <w:rPr>
                <w:rFonts w:ascii="Times New Roman"/>
                <w:snapToGrid w:val="0"/>
                <w:color w:val="auto"/>
                <w:spacing w:val="-6"/>
                <w:kern w:val="21"/>
                <w:sz w:val="24"/>
                <w:szCs w:val="24"/>
                <w:lang w:val="en-US" w:eastAsia="zh-CN"/>
              </w:rPr>
              <w:fldChar w:fldCharType="begin"/>
            </w:r>
            <w:r>
              <w:rPr>
                <w:rFonts w:ascii="Times New Roman"/>
                <w:snapToGrid w:val="0"/>
                <w:color w:val="auto"/>
                <w:spacing w:val="-6"/>
                <w:kern w:val="21"/>
                <w:sz w:val="24"/>
                <w:szCs w:val="24"/>
                <w:lang w:val="en-US" w:eastAsia="zh-CN"/>
              </w:rPr>
              <w:instrText xml:space="preserve"> = 7 \* GB3 \* MERGEFORMAT </w:instrText>
            </w:r>
            <w:r>
              <w:rPr>
                <w:rFonts w:ascii="Times New Roman"/>
                <w:snapToGrid w:val="0"/>
                <w:color w:val="auto"/>
                <w:spacing w:val="-6"/>
                <w:kern w:val="21"/>
                <w:sz w:val="24"/>
                <w:szCs w:val="24"/>
                <w:lang w:val="en-US" w:eastAsia="zh-CN"/>
              </w:rPr>
              <w:fldChar w:fldCharType="separate"/>
            </w:r>
            <w:r>
              <w:rPr>
                <w:rFonts w:hint="eastAsia" w:hAnsi="宋体" w:cs="宋体"/>
                <w:color w:val="auto"/>
                <w:kern w:val="2"/>
                <w:sz w:val="24"/>
                <w:szCs w:val="24"/>
                <w:lang w:val="en-US" w:eastAsia="zh-CN"/>
              </w:rPr>
              <w:t>⑦</w:t>
            </w:r>
            <w:r>
              <w:rPr>
                <w:rFonts w:ascii="Times New Roman"/>
                <w:snapToGrid w:val="0"/>
                <w:color w:val="auto"/>
                <w:spacing w:val="-6"/>
                <w:kern w:val="21"/>
                <w:sz w:val="24"/>
                <w:szCs w:val="24"/>
                <w:lang w:val="en-US" w:eastAsia="zh-CN"/>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50" w:type="pct"/>
            <w:vMerge w:val="restar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废气</w:t>
            </w:r>
          </w:p>
        </w:tc>
        <w:tc>
          <w:tcPr>
            <w:tcW w:w="906"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颗粒物</w:t>
            </w:r>
          </w:p>
        </w:tc>
        <w:tc>
          <w:tcPr>
            <w:tcW w:w="541"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c>
          <w:tcPr>
            <w:tcW w:w="431"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c>
          <w:tcPr>
            <w:tcW w:w="473"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c>
          <w:tcPr>
            <w:tcW w:w="578" w:type="pct"/>
            <w:noWrap w:val="0"/>
            <w:vAlign w:val="center"/>
          </w:tcPr>
          <w:p>
            <w:pPr>
              <w:adjustRightInd w:val="0"/>
              <w:snapToGrid w:val="0"/>
              <w:jc w:val="center"/>
              <w:rPr>
                <w:color w:val="auto"/>
                <w:sz w:val="24"/>
              </w:rPr>
            </w:pPr>
            <w:r>
              <w:rPr>
                <w:rFonts w:hint="eastAsia"/>
                <w:color w:val="auto"/>
                <w:sz w:val="24"/>
              </w:rPr>
              <w:t>2.45</w:t>
            </w:r>
          </w:p>
        </w:tc>
        <w:tc>
          <w:tcPr>
            <w:tcW w:w="526"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c>
          <w:tcPr>
            <w:tcW w:w="630" w:type="pct"/>
            <w:noWrap w:val="0"/>
            <w:vAlign w:val="center"/>
          </w:tcPr>
          <w:p>
            <w:pPr>
              <w:adjustRightInd w:val="0"/>
              <w:snapToGrid w:val="0"/>
              <w:jc w:val="center"/>
              <w:rPr>
                <w:color w:val="auto"/>
                <w:sz w:val="24"/>
              </w:rPr>
            </w:pPr>
            <w:r>
              <w:rPr>
                <w:rFonts w:hint="eastAsia"/>
                <w:color w:val="auto"/>
                <w:sz w:val="24"/>
              </w:rPr>
              <w:t>2.45</w:t>
            </w:r>
          </w:p>
        </w:tc>
        <w:tc>
          <w:tcPr>
            <w:tcW w:w="365" w:type="pct"/>
            <w:noWrap w:val="0"/>
            <w:vAlign w:val="center"/>
          </w:tcPr>
          <w:p>
            <w:pPr>
              <w:adjustRightInd w:val="0"/>
              <w:snapToGrid w:val="0"/>
              <w:jc w:val="center"/>
              <w:rPr>
                <w:color w:val="auto"/>
                <w:sz w:val="24"/>
              </w:rPr>
            </w:pPr>
            <w:r>
              <w:rPr>
                <w:rFonts w:hint="eastAsia"/>
                <w:color w:val="auto"/>
                <w:sz w:val="24"/>
              </w:rPr>
              <w:t>2.45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50" w:type="pct"/>
            <w:vMerge w:val="continue"/>
            <w:noWrap w:val="0"/>
            <w:vAlign w:val="center"/>
          </w:tcPr>
          <w:p>
            <w:pPr>
              <w:pStyle w:val="30"/>
              <w:spacing w:beforeLines="0" w:afterLines="0" w:line="240" w:lineRule="auto"/>
              <w:rPr>
                <w:rFonts w:ascii="Times New Roman"/>
                <w:snapToGrid w:val="0"/>
                <w:color w:val="auto"/>
                <w:kern w:val="21"/>
                <w:sz w:val="24"/>
                <w:szCs w:val="24"/>
                <w:lang w:val="en-US" w:eastAsia="zh-CN"/>
              </w:rPr>
            </w:pPr>
          </w:p>
        </w:tc>
        <w:tc>
          <w:tcPr>
            <w:tcW w:w="906"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SO</w:t>
            </w:r>
            <w:r>
              <w:rPr>
                <w:rFonts w:ascii="Times New Roman"/>
                <w:snapToGrid w:val="0"/>
                <w:color w:val="auto"/>
                <w:kern w:val="21"/>
                <w:sz w:val="24"/>
                <w:szCs w:val="24"/>
                <w:vertAlign w:val="subscript"/>
                <w:lang w:val="en-US" w:eastAsia="zh-CN"/>
              </w:rPr>
              <w:t>2</w:t>
            </w:r>
          </w:p>
        </w:tc>
        <w:tc>
          <w:tcPr>
            <w:tcW w:w="541"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c>
          <w:tcPr>
            <w:tcW w:w="431"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c>
          <w:tcPr>
            <w:tcW w:w="473"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c>
          <w:tcPr>
            <w:tcW w:w="578" w:type="pct"/>
            <w:noWrap w:val="0"/>
            <w:vAlign w:val="center"/>
          </w:tcPr>
          <w:p>
            <w:pPr>
              <w:adjustRightInd w:val="0"/>
              <w:snapToGrid w:val="0"/>
              <w:jc w:val="center"/>
              <w:rPr>
                <w:color w:val="auto"/>
                <w:sz w:val="24"/>
              </w:rPr>
            </w:pPr>
            <w:r>
              <w:rPr>
                <w:rFonts w:hint="eastAsia"/>
                <w:color w:val="auto"/>
                <w:sz w:val="24"/>
              </w:rPr>
              <w:t>2.38</w:t>
            </w:r>
          </w:p>
        </w:tc>
        <w:tc>
          <w:tcPr>
            <w:tcW w:w="526"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c>
          <w:tcPr>
            <w:tcW w:w="630" w:type="pct"/>
            <w:noWrap w:val="0"/>
            <w:vAlign w:val="center"/>
          </w:tcPr>
          <w:p>
            <w:pPr>
              <w:adjustRightInd w:val="0"/>
              <w:snapToGrid w:val="0"/>
              <w:jc w:val="center"/>
              <w:rPr>
                <w:color w:val="auto"/>
                <w:sz w:val="24"/>
              </w:rPr>
            </w:pPr>
            <w:r>
              <w:rPr>
                <w:rFonts w:hint="eastAsia"/>
                <w:color w:val="auto"/>
                <w:sz w:val="24"/>
              </w:rPr>
              <w:t>2.38</w:t>
            </w:r>
          </w:p>
        </w:tc>
        <w:tc>
          <w:tcPr>
            <w:tcW w:w="365" w:type="pct"/>
            <w:noWrap w:val="0"/>
            <w:vAlign w:val="center"/>
          </w:tcPr>
          <w:p>
            <w:pPr>
              <w:adjustRightInd w:val="0"/>
              <w:snapToGrid w:val="0"/>
              <w:jc w:val="center"/>
              <w:rPr>
                <w:color w:val="auto"/>
                <w:sz w:val="24"/>
              </w:rPr>
            </w:pPr>
            <w:r>
              <w:rPr>
                <w:rFonts w:hint="eastAsia"/>
                <w:color w:val="auto"/>
                <w:sz w:val="24"/>
              </w:rPr>
              <w:t>2.38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50" w:type="pct"/>
            <w:vMerge w:val="continue"/>
            <w:noWrap w:val="0"/>
            <w:vAlign w:val="center"/>
          </w:tcPr>
          <w:p>
            <w:pPr>
              <w:pStyle w:val="30"/>
              <w:spacing w:beforeLines="0" w:afterLines="0" w:line="240" w:lineRule="auto"/>
              <w:rPr>
                <w:rFonts w:ascii="Times New Roman"/>
                <w:snapToGrid w:val="0"/>
                <w:color w:val="auto"/>
                <w:kern w:val="21"/>
                <w:sz w:val="24"/>
                <w:szCs w:val="24"/>
                <w:lang w:val="en-US" w:eastAsia="zh-CN"/>
              </w:rPr>
            </w:pPr>
          </w:p>
        </w:tc>
        <w:tc>
          <w:tcPr>
            <w:tcW w:w="906"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NO</w:t>
            </w:r>
            <w:r>
              <w:rPr>
                <w:rFonts w:ascii="Times New Roman"/>
                <w:snapToGrid w:val="0"/>
                <w:color w:val="auto"/>
                <w:kern w:val="21"/>
                <w:sz w:val="24"/>
                <w:szCs w:val="24"/>
                <w:vertAlign w:val="subscript"/>
                <w:lang w:val="en-US" w:eastAsia="zh-CN"/>
              </w:rPr>
              <w:t>X</w:t>
            </w:r>
          </w:p>
        </w:tc>
        <w:tc>
          <w:tcPr>
            <w:tcW w:w="541"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c>
          <w:tcPr>
            <w:tcW w:w="431"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c>
          <w:tcPr>
            <w:tcW w:w="473"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c>
          <w:tcPr>
            <w:tcW w:w="578" w:type="pct"/>
            <w:noWrap w:val="0"/>
            <w:vAlign w:val="center"/>
          </w:tcPr>
          <w:p>
            <w:pPr>
              <w:adjustRightInd w:val="0"/>
              <w:snapToGrid w:val="0"/>
              <w:jc w:val="center"/>
              <w:rPr>
                <w:color w:val="auto"/>
                <w:sz w:val="24"/>
              </w:rPr>
            </w:pPr>
            <w:r>
              <w:rPr>
                <w:rFonts w:hint="eastAsia"/>
                <w:color w:val="auto"/>
                <w:sz w:val="24"/>
              </w:rPr>
              <w:t>3.92</w:t>
            </w:r>
          </w:p>
        </w:tc>
        <w:tc>
          <w:tcPr>
            <w:tcW w:w="526"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c>
          <w:tcPr>
            <w:tcW w:w="630" w:type="pct"/>
            <w:noWrap w:val="0"/>
            <w:vAlign w:val="center"/>
          </w:tcPr>
          <w:p>
            <w:pPr>
              <w:adjustRightInd w:val="0"/>
              <w:snapToGrid w:val="0"/>
              <w:jc w:val="center"/>
              <w:rPr>
                <w:color w:val="auto"/>
                <w:sz w:val="24"/>
              </w:rPr>
            </w:pPr>
            <w:r>
              <w:rPr>
                <w:rFonts w:hint="eastAsia"/>
                <w:color w:val="auto"/>
                <w:sz w:val="24"/>
              </w:rPr>
              <w:t>3.92</w:t>
            </w:r>
          </w:p>
        </w:tc>
        <w:tc>
          <w:tcPr>
            <w:tcW w:w="365" w:type="pct"/>
            <w:noWrap w:val="0"/>
            <w:vAlign w:val="center"/>
          </w:tcPr>
          <w:p>
            <w:pPr>
              <w:adjustRightInd w:val="0"/>
              <w:snapToGrid w:val="0"/>
              <w:jc w:val="center"/>
              <w:rPr>
                <w:color w:val="auto"/>
                <w:sz w:val="24"/>
              </w:rPr>
            </w:pPr>
            <w:r>
              <w:rPr>
                <w:rFonts w:hint="eastAsia"/>
                <w:color w:val="auto"/>
                <w:sz w:val="24"/>
              </w:rPr>
              <w:t>3.92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50" w:type="pct"/>
            <w:vMerge w:val="restar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废水</w:t>
            </w:r>
          </w:p>
        </w:tc>
        <w:tc>
          <w:tcPr>
            <w:tcW w:w="906"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COD</w:t>
            </w:r>
          </w:p>
        </w:tc>
        <w:tc>
          <w:tcPr>
            <w:tcW w:w="541"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c>
          <w:tcPr>
            <w:tcW w:w="431"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color w:val="auto"/>
                <w:sz w:val="24"/>
                <w:szCs w:val="24"/>
                <w:lang w:val="en-US" w:eastAsia="zh-CN"/>
              </w:rPr>
              <w:t>/</w:t>
            </w:r>
          </w:p>
        </w:tc>
        <w:tc>
          <w:tcPr>
            <w:tcW w:w="473"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c>
          <w:tcPr>
            <w:tcW w:w="578"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c>
          <w:tcPr>
            <w:tcW w:w="526"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c>
          <w:tcPr>
            <w:tcW w:w="630"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c>
          <w:tcPr>
            <w:tcW w:w="365"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550" w:type="pct"/>
            <w:vMerge w:val="continue"/>
            <w:noWrap w:val="0"/>
            <w:vAlign w:val="center"/>
          </w:tcPr>
          <w:p>
            <w:pPr>
              <w:pStyle w:val="30"/>
              <w:spacing w:beforeLines="0" w:afterLines="0" w:line="240" w:lineRule="auto"/>
              <w:rPr>
                <w:rFonts w:ascii="Times New Roman"/>
                <w:snapToGrid w:val="0"/>
                <w:color w:val="auto"/>
                <w:kern w:val="21"/>
                <w:sz w:val="24"/>
                <w:szCs w:val="24"/>
                <w:lang w:val="en-US" w:eastAsia="zh-CN"/>
              </w:rPr>
            </w:pPr>
          </w:p>
        </w:tc>
        <w:tc>
          <w:tcPr>
            <w:tcW w:w="906"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氨氮</w:t>
            </w:r>
          </w:p>
        </w:tc>
        <w:tc>
          <w:tcPr>
            <w:tcW w:w="541"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c>
          <w:tcPr>
            <w:tcW w:w="431"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c>
          <w:tcPr>
            <w:tcW w:w="473"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c>
          <w:tcPr>
            <w:tcW w:w="578"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c>
          <w:tcPr>
            <w:tcW w:w="526"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c>
          <w:tcPr>
            <w:tcW w:w="630"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c>
          <w:tcPr>
            <w:tcW w:w="365"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50" w:type="pct"/>
            <w:vMerge w:val="continue"/>
            <w:noWrap w:val="0"/>
            <w:vAlign w:val="center"/>
          </w:tcPr>
          <w:p>
            <w:pPr>
              <w:pStyle w:val="30"/>
              <w:spacing w:beforeLines="0" w:afterLines="0" w:line="240" w:lineRule="auto"/>
              <w:rPr>
                <w:rFonts w:ascii="Times New Roman"/>
                <w:snapToGrid w:val="0"/>
                <w:color w:val="auto"/>
                <w:kern w:val="21"/>
                <w:sz w:val="24"/>
                <w:szCs w:val="24"/>
                <w:lang w:val="en-US" w:eastAsia="zh-CN"/>
              </w:rPr>
            </w:pPr>
          </w:p>
        </w:tc>
        <w:tc>
          <w:tcPr>
            <w:tcW w:w="906"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SS</w:t>
            </w:r>
          </w:p>
        </w:tc>
        <w:tc>
          <w:tcPr>
            <w:tcW w:w="541"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c>
          <w:tcPr>
            <w:tcW w:w="431"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c>
          <w:tcPr>
            <w:tcW w:w="473"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c>
          <w:tcPr>
            <w:tcW w:w="578"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c>
          <w:tcPr>
            <w:tcW w:w="526"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c>
          <w:tcPr>
            <w:tcW w:w="630"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c>
          <w:tcPr>
            <w:tcW w:w="365"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550" w:type="pct"/>
            <w:vMerge w:val="continue"/>
            <w:noWrap w:val="0"/>
            <w:vAlign w:val="center"/>
          </w:tcPr>
          <w:p>
            <w:pPr>
              <w:pStyle w:val="30"/>
              <w:spacing w:beforeLines="0" w:afterLines="0" w:line="240" w:lineRule="auto"/>
              <w:rPr>
                <w:rFonts w:ascii="Times New Roman"/>
                <w:snapToGrid w:val="0"/>
                <w:color w:val="auto"/>
                <w:kern w:val="21"/>
                <w:sz w:val="24"/>
                <w:szCs w:val="24"/>
                <w:lang w:val="en-US" w:eastAsia="zh-CN"/>
              </w:rPr>
            </w:pPr>
          </w:p>
        </w:tc>
        <w:tc>
          <w:tcPr>
            <w:tcW w:w="906"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BOD</w:t>
            </w:r>
            <w:r>
              <w:rPr>
                <w:rFonts w:ascii="Times New Roman"/>
                <w:snapToGrid w:val="0"/>
                <w:color w:val="auto"/>
                <w:kern w:val="21"/>
                <w:sz w:val="24"/>
                <w:szCs w:val="24"/>
                <w:vertAlign w:val="subscript"/>
                <w:lang w:val="en-US" w:eastAsia="zh-CN"/>
              </w:rPr>
              <w:t>5</w:t>
            </w:r>
          </w:p>
        </w:tc>
        <w:tc>
          <w:tcPr>
            <w:tcW w:w="541"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c>
          <w:tcPr>
            <w:tcW w:w="431"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c>
          <w:tcPr>
            <w:tcW w:w="473"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c>
          <w:tcPr>
            <w:tcW w:w="578"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c>
          <w:tcPr>
            <w:tcW w:w="526"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c>
          <w:tcPr>
            <w:tcW w:w="630"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c>
          <w:tcPr>
            <w:tcW w:w="365"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50" w:type="pct"/>
            <w:vMerge w:val="restar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一般工业</w:t>
            </w:r>
          </w:p>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固体废物</w:t>
            </w:r>
          </w:p>
        </w:tc>
        <w:tc>
          <w:tcPr>
            <w:tcW w:w="906"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color w:val="auto"/>
                <w:sz w:val="24"/>
                <w:szCs w:val="24"/>
                <w:lang w:val="en-US" w:eastAsia="zh-CN"/>
              </w:rPr>
              <w:t>锅炉炉渣</w:t>
            </w:r>
          </w:p>
        </w:tc>
        <w:tc>
          <w:tcPr>
            <w:tcW w:w="541"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c>
          <w:tcPr>
            <w:tcW w:w="431"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c>
          <w:tcPr>
            <w:tcW w:w="473"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c>
          <w:tcPr>
            <w:tcW w:w="578" w:type="pct"/>
            <w:noWrap w:val="0"/>
            <w:vAlign w:val="center"/>
          </w:tcPr>
          <w:p>
            <w:pPr>
              <w:autoSpaceDE w:val="0"/>
              <w:autoSpaceDN w:val="0"/>
              <w:contextualSpacing/>
              <w:jc w:val="center"/>
              <w:rPr>
                <w:snapToGrid w:val="0"/>
                <w:color w:val="auto"/>
                <w:kern w:val="21"/>
                <w:sz w:val="24"/>
              </w:rPr>
            </w:pPr>
            <w:r>
              <w:rPr>
                <w:rFonts w:hint="eastAsia"/>
                <w:color w:val="auto"/>
                <w:sz w:val="24"/>
              </w:rPr>
              <w:t>549.6</w:t>
            </w:r>
          </w:p>
        </w:tc>
        <w:tc>
          <w:tcPr>
            <w:tcW w:w="526"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c>
          <w:tcPr>
            <w:tcW w:w="630" w:type="pct"/>
            <w:noWrap w:val="0"/>
            <w:vAlign w:val="center"/>
          </w:tcPr>
          <w:p>
            <w:pPr>
              <w:autoSpaceDE w:val="0"/>
              <w:autoSpaceDN w:val="0"/>
              <w:contextualSpacing/>
              <w:jc w:val="center"/>
              <w:rPr>
                <w:snapToGrid w:val="0"/>
                <w:color w:val="auto"/>
                <w:kern w:val="21"/>
                <w:sz w:val="24"/>
              </w:rPr>
            </w:pPr>
            <w:r>
              <w:rPr>
                <w:rFonts w:hint="eastAsia"/>
                <w:color w:val="auto"/>
                <w:sz w:val="24"/>
              </w:rPr>
              <w:t>549.6</w:t>
            </w:r>
          </w:p>
        </w:tc>
        <w:tc>
          <w:tcPr>
            <w:tcW w:w="365" w:type="pct"/>
            <w:noWrap w:val="0"/>
            <w:vAlign w:val="center"/>
          </w:tcPr>
          <w:p>
            <w:pPr>
              <w:autoSpaceDE w:val="0"/>
              <w:autoSpaceDN w:val="0"/>
              <w:contextualSpacing/>
              <w:jc w:val="center"/>
              <w:rPr>
                <w:snapToGrid w:val="0"/>
                <w:color w:val="auto"/>
                <w:kern w:val="21"/>
                <w:sz w:val="24"/>
              </w:rPr>
            </w:pPr>
            <w:r>
              <w:rPr>
                <w:rFonts w:hint="eastAsia"/>
                <w:color w:val="auto"/>
                <w:sz w:val="24"/>
              </w:rPr>
              <w:t>549.6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50" w:type="pct"/>
            <w:vMerge w:val="continue"/>
            <w:noWrap w:val="0"/>
            <w:vAlign w:val="center"/>
          </w:tcPr>
          <w:p>
            <w:pPr>
              <w:pStyle w:val="30"/>
              <w:spacing w:beforeLines="0" w:afterLines="0" w:line="240" w:lineRule="auto"/>
              <w:rPr>
                <w:rFonts w:ascii="Times New Roman"/>
                <w:snapToGrid w:val="0"/>
                <w:color w:val="auto"/>
                <w:kern w:val="21"/>
                <w:sz w:val="24"/>
                <w:szCs w:val="24"/>
                <w:lang w:val="en-US" w:eastAsia="zh-CN"/>
              </w:rPr>
            </w:pPr>
          </w:p>
        </w:tc>
        <w:tc>
          <w:tcPr>
            <w:tcW w:w="906"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color w:val="auto"/>
                <w:sz w:val="24"/>
                <w:szCs w:val="24"/>
                <w:lang w:val="en-US" w:eastAsia="zh-CN"/>
              </w:rPr>
              <w:t>废布袋</w:t>
            </w:r>
          </w:p>
        </w:tc>
        <w:tc>
          <w:tcPr>
            <w:tcW w:w="541"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c>
          <w:tcPr>
            <w:tcW w:w="431"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color w:val="auto"/>
                <w:sz w:val="24"/>
                <w:szCs w:val="24"/>
                <w:lang w:val="en-US" w:eastAsia="zh-CN"/>
              </w:rPr>
              <w:t>/</w:t>
            </w:r>
          </w:p>
        </w:tc>
        <w:tc>
          <w:tcPr>
            <w:tcW w:w="473"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c>
          <w:tcPr>
            <w:tcW w:w="578" w:type="pct"/>
            <w:noWrap w:val="0"/>
            <w:vAlign w:val="center"/>
          </w:tcPr>
          <w:p>
            <w:pPr>
              <w:autoSpaceDE w:val="0"/>
              <w:autoSpaceDN w:val="0"/>
              <w:contextualSpacing/>
              <w:jc w:val="center"/>
              <w:rPr>
                <w:snapToGrid w:val="0"/>
                <w:color w:val="auto"/>
                <w:kern w:val="21"/>
                <w:sz w:val="24"/>
              </w:rPr>
            </w:pPr>
            <w:r>
              <w:rPr>
                <w:rFonts w:hint="eastAsia"/>
                <w:color w:val="auto"/>
                <w:sz w:val="24"/>
              </w:rPr>
              <w:t>0.5t/3a</w:t>
            </w:r>
          </w:p>
        </w:tc>
        <w:tc>
          <w:tcPr>
            <w:tcW w:w="526"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c>
          <w:tcPr>
            <w:tcW w:w="630" w:type="pct"/>
            <w:noWrap w:val="0"/>
            <w:vAlign w:val="center"/>
          </w:tcPr>
          <w:p>
            <w:pPr>
              <w:autoSpaceDE w:val="0"/>
              <w:autoSpaceDN w:val="0"/>
              <w:contextualSpacing/>
              <w:jc w:val="center"/>
              <w:rPr>
                <w:snapToGrid w:val="0"/>
                <w:color w:val="auto"/>
                <w:kern w:val="21"/>
                <w:sz w:val="24"/>
              </w:rPr>
            </w:pPr>
            <w:r>
              <w:rPr>
                <w:rFonts w:hint="eastAsia"/>
                <w:color w:val="auto"/>
                <w:sz w:val="24"/>
              </w:rPr>
              <w:t>0.5t/3a</w:t>
            </w:r>
          </w:p>
        </w:tc>
        <w:tc>
          <w:tcPr>
            <w:tcW w:w="365" w:type="pct"/>
            <w:noWrap w:val="0"/>
            <w:vAlign w:val="center"/>
          </w:tcPr>
          <w:p>
            <w:pPr>
              <w:autoSpaceDE w:val="0"/>
              <w:autoSpaceDN w:val="0"/>
              <w:contextualSpacing/>
              <w:jc w:val="center"/>
              <w:rPr>
                <w:snapToGrid w:val="0"/>
                <w:color w:val="auto"/>
                <w:kern w:val="21"/>
                <w:sz w:val="24"/>
              </w:rPr>
            </w:pPr>
            <w:r>
              <w:rPr>
                <w:rFonts w:hint="eastAsia"/>
                <w:color w:val="auto"/>
                <w:sz w:val="24"/>
              </w:rPr>
              <w:t>0.5t/3a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50" w:type="pct"/>
            <w:vMerge w:val="continue"/>
            <w:noWrap w:val="0"/>
            <w:vAlign w:val="center"/>
          </w:tcPr>
          <w:p>
            <w:pPr>
              <w:pStyle w:val="30"/>
              <w:spacing w:beforeLines="0" w:afterLines="0" w:line="240" w:lineRule="auto"/>
              <w:rPr>
                <w:rFonts w:ascii="Times New Roman"/>
                <w:snapToGrid w:val="0"/>
                <w:color w:val="auto"/>
                <w:kern w:val="21"/>
                <w:sz w:val="24"/>
                <w:szCs w:val="24"/>
                <w:lang w:val="en-US" w:eastAsia="zh-CN"/>
              </w:rPr>
            </w:pPr>
          </w:p>
        </w:tc>
        <w:tc>
          <w:tcPr>
            <w:tcW w:w="906" w:type="pct"/>
            <w:noWrap w:val="0"/>
            <w:vAlign w:val="center"/>
          </w:tcPr>
          <w:p>
            <w:pPr>
              <w:pStyle w:val="30"/>
              <w:spacing w:beforeLines="0" w:afterLines="0" w:line="240" w:lineRule="auto"/>
              <w:rPr>
                <w:rFonts w:ascii="Times New Roman"/>
                <w:color w:val="auto"/>
                <w:sz w:val="24"/>
                <w:szCs w:val="24"/>
                <w:lang w:val="en-US" w:eastAsia="zh-CN"/>
              </w:rPr>
            </w:pPr>
            <w:r>
              <w:rPr>
                <w:rFonts w:ascii="Times New Roman"/>
                <w:color w:val="auto"/>
                <w:sz w:val="24"/>
                <w:szCs w:val="24"/>
                <w:lang w:val="en-US" w:eastAsia="zh-CN"/>
              </w:rPr>
              <w:t>锰砂废料</w:t>
            </w:r>
          </w:p>
        </w:tc>
        <w:tc>
          <w:tcPr>
            <w:tcW w:w="541" w:type="pct"/>
            <w:noWrap w:val="0"/>
            <w:vAlign w:val="center"/>
          </w:tcPr>
          <w:p>
            <w:pPr>
              <w:pStyle w:val="30"/>
              <w:spacing w:beforeLines="0" w:afterLines="0" w:line="240" w:lineRule="auto"/>
              <w:rPr>
                <w:rFonts w:ascii="Times New Roman"/>
                <w:snapToGrid w:val="0"/>
                <w:color w:val="auto"/>
                <w:kern w:val="21"/>
                <w:sz w:val="24"/>
                <w:szCs w:val="24"/>
                <w:lang w:val="en-US" w:eastAsia="zh-CN"/>
              </w:rPr>
            </w:pPr>
          </w:p>
        </w:tc>
        <w:tc>
          <w:tcPr>
            <w:tcW w:w="431" w:type="pct"/>
            <w:noWrap w:val="0"/>
            <w:vAlign w:val="center"/>
          </w:tcPr>
          <w:p>
            <w:pPr>
              <w:pStyle w:val="30"/>
              <w:spacing w:beforeLines="0" w:afterLines="0" w:line="240" w:lineRule="auto"/>
              <w:rPr>
                <w:rFonts w:ascii="Times New Roman"/>
                <w:color w:val="auto"/>
                <w:sz w:val="24"/>
                <w:szCs w:val="24"/>
                <w:lang w:val="en-US" w:eastAsia="zh-CN"/>
              </w:rPr>
            </w:pPr>
          </w:p>
        </w:tc>
        <w:tc>
          <w:tcPr>
            <w:tcW w:w="473"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c>
          <w:tcPr>
            <w:tcW w:w="578" w:type="pct"/>
            <w:noWrap w:val="0"/>
            <w:vAlign w:val="center"/>
          </w:tcPr>
          <w:p>
            <w:pPr>
              <w:autoSpaceDE w:val="0"/>
              <w:autoSpaceDN w:val="0"/>
              <w:contextualSpacing/>
              <w:jc w:val="center"/>
              <w:rPr>
                <w:color w:val="auto"/>
                <w:sz w:val="24"/>
              </w:rPr>
            </w:pPr>
            <w:r>
              <w:rPr>
                <w:rFonts w:hint="eastAsia" w:hAnsi="宋体"/>
                <w:color w:val="auto"/>
                <w:sz w:val="24"/>
              </w:rPr>
              <w:t>0.2t/3a</w:t>
            </w:r>
          </w:p>
        </w:tc>
        <w:tc>
          <w:tcPr>
            <w:tcW w:w="526"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c>
          <w:tcPr>
            <w:tcW w:w="630" w:type="pct"/>
            <w:noWrap w:val="0"/>
            <w:vAlign w:val="center"/>
          </w:tcPr>
          <w:p>
            <w:pPr>
              <w:autoSpaceDE w:val="0"/>
              <w:autoSpaceDN w:val="0"/>
              <w:contextualSpacing/>
              <w:jc w:val="center"/>
              <w:rPr>
                <w:snapToGrid w:val="0"/>
                <w:color w:val="auto"/>
                <w:kern w:val="21"/>
                <w:sz w:val="24"/>
              </w:rPr>
            </w:pPr>
            <w:r>
              <w:rPr>
                <w:rFonts w:hint="eastAsia" w:hAnsi="宋体"/>
                <w:color w:val="auto"/>
                <w:sz w:val="24"/>
              </w:rPr>
              <w:t>0.2t/3a</w:t>
            </w:r>
          </w:p>
        </w:tc>
        <w:tc>
          <w:tcPr>
            <w:tcW w:w="365" w:type="pct"/>
            <w:noWrap w:val="0"/>
            <w:vAlign w:val="center"/>
          </w:tcPr>
          <w:p>
            <w:pPr>
              <w:autoSpaceDE w:val="0"/>
              <w:autoSpaceDN w:val="0"/>
              <w:contextualSpacing/>
              <w:jc w:val="center"/>
              <w:rPr>
                <w:snapToGrid w:val="0"/>
                <w:color w:val="auto"/>
                <w:kern w:val="21"/>
                <w:sz w:val="24"/>
              </w:rPr>
            </w:pPr>
            <w:r>
              <w:rPr>
                <w:rFonts w:hint="eastAsia" w:hAnsi="宋体"/>
                <w:color w:val="auto"/>
                <w:sz w:val="24"/>
              </w:rPr>
              <w:t>0.2t/3a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50" w:type="pct"/>
            <w:vMerge w:val="continue"/>
            <w:noWrap w:val="0"/>
            <w:vAlign w:val="center"/>
          </w:tcPr>
          <w:p>
            <w:pPr>
              <w:pStyle w:val="30"/>
              <w:spacing w:beforeLines="0" w:afterLines="0" w:line="240" w:lineRule="auto"/>
              <w:rPr>
                <w:rFonts w:ascii="Times New Roman"/>
                <w:snapToGrid w:val="0"/>
                <w:color w:val="auto"/>
                <w:kern w:val="21"/>
                <w:sz w:val="24"/>
                <w:szCs w:val="24"/>
                <w:lang w:val="en-US" w:eastAsia="zh-CN"/>
              </w:rPr>
            </w:pPr>
          </w:p>
        </w:tc>
        <w:tc>
          <w:tcPr>
            <w:tcW w:w="906" w:type="pct"/>
            <w:noWrap w:val="0"/>
            <w:vAlign w:val="center"/>
          </w:tcPr>
          <w:p>
            <w:pPr>
              <w:pStyle w:val="30"/>
              <w:spacing w:beforeLines="0" w:afterLines="0" w:line="240" w:lineRule="auto"/>
              <w:rPr>
                <w:rFonts w:ascii="Times New Roman"/>
                <w:color w:val="auto"/>
                <w:sz w:val="24"/>
                <w:szCs w:val="24"/>
                <w:lang w:val="en-US" w:eastAsia="zh-CN"/>
              </w:rPr>
            </w:pPr>
            <w:r>
              <w:rPr>
                <w:rFonts w:hint="eastAsia" w:ascii="Times New Roman"/>
                <w:bCs/>
                <w:color w:val="auto"/>
                <w:sz w:val="24"/>
                <w:szCs w:val="24"/>
                <w:lang w:val="en-US" w:eastAsia="zh-CN"/>
              </w:rPr>
              <w:t>布袋除尘器收集的除尘灰</w:t>
            </w:r>
          </w:p>
        </w:tc>
        <w:tc>
          <w:tcPr>
            <w:tcW w:w="541" w:type="pct"/>
            <w:noWrap w:val="0"/>
            <w:vAlign w:val="center"/>
          </w:tcPr>
          <w:p>
            <w:pPr>
              <w:pStyle w:val="30"/>
              <w:spacing w:beforeLines="0" w:afterLines="0" w:line="240" w:lineRule="auto"/>
              <w:rPr>
                <w:rFonts w:ascii="Times New Roman"/>
                <w:snapToGrid w:val="0"/>
                <w:color w:val="auto"/>
                <w:kern w:val="21"/>
                <w:sz w:val="24"/>
                <w:szCs w:val="24"/>
                <w:lang w:val="en-US" w:eastAsia="zh-CN"/>
              </w:rPr>
            </w:pPr>
          </w:p>
        </w:tc>
        <w:tc>
          <w:tcPr>
            <w:tcW w:w="431" w:type="pct"/>
            <w:noWrap w:val="0"/>
            <w:vAlign w:val="center"/>
          </w:tcPr>
          <w:p>
            <w:pPr>
              <w:pStyle w:val="30"/>
              <w:spacing w:beforeLines="0" w:afterLines="0" w:line="240" w:lineRule="auto"/>
              <w:rPr>
                <w:rFonts w:ascii="Times New Roman"/>
                <w:color w:val="auto"/>
                <w:sz w:val="24"/>
                <w:szCs w:val="24"/>
                <w:lang w:val="en-US" w:eastAsia="zh-CN"/>
              </w:rPr>
            </w:pPr>
          </w:p>
        </w:tc>
        <w:tc>
          <w:tcPr>
            <w:tcW w:w="473" w:type="pct"/>
            <w:noWrap w:val="0"/>
            <w:vAlign w:val="center"/>
          </w:tcPr>
          <w:p>
            <w:pPr>
              <w:pStyle w:val="30"/>
              <w:spacing w:beforeLines="0" w:afterLines="0" w:line="240" w:lineRule="auto"/>
              <w:rPr>
                <w:rFonts w:ascii="Times New Roman"/>
                <w:snapToGrid w:val="0"/>
                <w:color w:val="auto"/>
                <w:kern w:val="21"/>
                <w:sz w:val="24"/>
                <w:szCs w:val="24"/>
                <w:lang w:val="en-US" w:eastAsia="zh-CN"/>
              </w:rPr>
            </w:pPr>
          </w:p>
        </w:tc>
        <w:tc>
          <w:tcPr>
            <w:tcW w:w="578" w:type="pct"/>
            <w:noWrap w:val="0"/>
            <w:vAlign w:val="center"/>
          </w:tcPr>
          <w:p>
            <w:pPr>
              <w:autoSpaceDE w:val="0"/>
              <w:autoSpaceDN w:val="0"/>
              <w:contextualSpacing/>
              <w:jc w:val="center"/>
              <w:rPr>
                <w:rFonts w:hint="eastAsia" w:hAnsi="宋体"/>
                <w:color w:val="auto"/>
                <w:sz w:val="24"/>
              </w:rPr>
            </w:pPr>
            <w:r>
              <w:rPr>
                <w:rFonts w:hint="eastAsia" w:hAnsi="宋体"/>
                <w:color w:val="auto"/>
                <w:sz w:val="24"/>
              </w:rPr>
              <w:t>193.4</w:t>
            </w:r>
          </w:p>
        </w:tc>
        <w:tc>
          <w:tcPr>
            <w:tcW w:w="526"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hint="eastAsia" w:ascii="Times New Roman"/>
                <w:snapToGrid w:val="0"/>
                <w:color w:val="auto"/>
                <w:kern w:val="21"/>
                <w:sz w:val="24"/>
                <w:szCs w:val="24"/>
                <w:lang w:val="en-US" w:eastAsia="zh-CN"/>
              </w:rPr>
              <w:t>/</w:t>
            </w:r>
          </w:p>
        </w:tc>
        <w:tc>
          <w:tcPr>
            <w:tcW w:w="630" w:type="pct"/>
            <w:noWrap w:val="0"/>
            <w:vAlign w:val="center"/>
          </w:tcPr>
          <w:p>
            <w:pPr>
              <w:autoSpaceDE w:val="0"/>
              <w:autoSpaceDN w:val="0"/>
              <w:contextualSpacing/>
              <w:jc w:val="center"/>
              <w:rPr>
                <w:rFonts w:hint="eastAsia" w:hAnsi="宋体"/>
                <w:color w:val="auto"/>
                <w:sz w:val="24"/>
              </w:rPr>
            </w:pPr>
            <w:r>
              <w:rPr>
                <w:rFonts w:hint="eastAsia" w:hAnsi="宋体"/>
                <w:color w:val="auto"/>
                <w:sz w:val="24"/>
              </w:rPr>
              <w:t>193.4</w:t>
            </w:r>
          </w:p>
        </w:tc>
        <w:tc>
          <w:tcPr>
            <w:tcW w:w="365" w:type="pct"/>
            <w:noWrap w:val="0"/>
            <w:vAlign w:val="center"/>
          </w:tcPr>
          <w:p>
            <w:pPr>
              <w:autoSpaceDE w:val="0"/>
              <w:autoSpaceDN w:val="0"/>
              <w:contextualSpacing/>
              <w:jc w:val="center"/>
              <w:rPr>
                <w:rFonts w:hint="eastAsia" w:hAnsi="宋体"/>
                <w:color w:val="auto"/>
                <w:sz w:val="24"/>
              </w:rPr>
            </w:pPr>
            <w:r>
              <w:rPr>
                <w:rFonts w:hint="eastAsia" w:hAnsi="宋体"/>
                <w:color w:val="auto"/>
                <w:sz w:val="24"/>
              </w:rPr>
              <w:t>193.4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50"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危险废物</w:t>
            </w:r>
          </w:p>
        </w:tc>
        <w:tc>
          <w:tcPr>
            <w:tcW w:w="906"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c>
          <w:tcPr>
            <w:tcW w:w="541"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c>
          <w:tcPr>
            <w:tcW w:w="431"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c>
          <w:tcPr>
            <w:tcW w:w="473"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c>
          <w:tcPr>
            <w:tcW w:w="578"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c>
          <w:tcPr>
            <w:tcW w:w="526"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c>
          <w:tcPr>
            <w:tcW w:w="630"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c>
          <w:tcPr>
            <w:tcW w:w="365" w:type="pct"/>
            <w:noWrap w:val="0"/>
            <w:vAlign w:val="center"/>
          </w:tcPr>
          <w:p>
            <w:pPr>
              <w:pStyle w:val="30"/>
              <w:spacing w:beforeLines="0" w:afterLines="0" w:line="240" w:lineRule="auto"/>
              <w:rPr>
                <w:rFonts w:ascii="Times New Roman"/>
                <w:snapToGrid w:val="0"/>
                <w:color w:val="auto"/>
                <w:kern w:val="21"/>
                <w:sz w:val="24"/>
                <w:szCs w:val="24"/>
                <w:lang w:val="en-US" w:eastAsia="zh-CN"/>
              </w:rPr>
            </w:pPr>
            <w:r>
              <w:rPr>
                <w:rFonts w:ascii="Times New Roman"/>
                <w:snapToGrid w:val="0"/>
                <w:color w:val="auto"/>
                <w:kern w:val="21"/>
                <w:sz w:val="24"/>
                <w:szCs w:val="24"/>
                <w:lang w:val="en-US" w:eastAsia="zh-CN"/>
              </w:rPr>
              <w:t>/</w:t>
            </w:r>
          </w:p>
        </w:tc>
      </w:tr>
    </w:tbl>
    <w:p>
      <w:pPr>
        <w:pStyle w:val="30"/>
        <w:spacing w:before="249" w:beforeLines="80" w:after="31"/>
        <w:jc w:val="left"/>
        <w:rPr>
          <w:rFonts w:ascii="Times New Roman"/>
          <w:color w:val="auto"/>
          <w:szCs w:val="21"/>
        </w:rPr>
      </w:pPr>
      <w:r>
        <w:rPr>
          <w:rFonts w:ascii="Times New Roman"/>
          <w:snapToGrid w:val="0"/>
          <w:color w:val="auto"/>
          <w:kern w:val="21"/>
          <w:szCs w:val="21"/>
        </w:rPr>
        <w:t>注：</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6 \* GB3 \* MERGEFORMAT </w:instrText>
      </w:r>
      <w:r>
        <w:rPr>
          <w:rFonts w:ascii="Times New Roman"/>
          <w:snapToGrid w:val="0"/>
          <w:color w:val="auto"/>
          <w:spacing w:val="-16"/>
          <w:kern w:val="21"/>
          <w:szCs w:val="21"/>
        </w:rPr>
        <w:fldChar w:fldCharType="separate"/>
      </w:r>
      <w:r>
        <w:rPr>
          <w:rFonts w:hint="eastAsia" w:hAnsi="宋体" w:cs="宋体"/>
          <w:color w:val="auto"/>
          <w:szCs w:val="21"/>
        </w:rPr>
        <w:t>⑥</w:t>
      </w:r>
      <w:r>
        <w:rPr>
          <w:rFonts w:ascii="Times New Roman"/>
          <w:snapToGrid w:val="0"/>
          <w:color w:val="auto"/>
          <w:spacing w:val="-16"/>
          <w:kern w:val="21"/>
          <w:szCs w:val="21"/>
        </w:rPr>
        <w:fldChar w:fldCharType="end"/>
      </w:r>
      <w:r>
        <w:rPr>
          <w:rFonts w:ascii="Times New Roman"/>
          <w:snapToGrid w:val="0"/>
          <w:color w:val="auto"/>
          <w:spacing w:val="-1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1 \* GB3 \* MERGEFORMAT </w:instrText>
      </w:r>
      <w:r>
        <w:rPr>
          <w:rFonts w:ascii="Times New Roman"/>
          <w:snapToGrid w:val="0"/>
          <w:color w:val="auto"/>
          <w:spacing w:val="-6"/>
          <w:kern w:val="21"/>
          <w:szCs w:val="21"/>
        </w:rPr>
        <w:fldChar w:fldCharType="separate"/>
      </w:r>
      <w:r>
        <w:rPr>
          <w:rFonts w:hint="eastAsia" w:hAnsi="宋体" w:cs="宋体"/>
          <w:color w:val="auto"/>
          <w:szCs w:val="21"/>
        </w:rPr>
        <w:t>①</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3 \* GB3 \* MERGEFORMAT </w:instrText>
      </w:r>
      <w:r>
        <w:rPr>
          <w:rFonts w:ascii="Times New Roman"/>
          <w:snapToGrid w:val="0"/>
          <w:color w:val="auto"/>
          <w:spacing w:val="-6"/>
          <w:kern w:val="21"/>
          <w:szCs w:val="21"/>
        </w:rPr>
        <w:fldChar w:fldCharType="separate"/>
      </w:r>
      <w:r>
        <w:rPr>
          <w:rFonts w:hint="eastAsia" w:hAnsi="宋体" w:cs="宋体"/>
          <w:color w:val="auto"/>
          <w:szCs w:val="21"/>
        </w:rPr>
        <w:t>③</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4 \* GB3 \* MERGEFORMAT </w:instrText>
      </w:r>
      <w:r>
        <w:rPr>
          <w:rFonts w:ascii="Times New Roman"/>
          <w:snapToGrid w:val="0"/>
          <w:color w:val="auto"/>
          <w:spacing w:val="-6"/>
          <w:kern w:val="21"/>
          <w:szCs w:val="21"/>
        </w:rPr>
        <w:fldChar w:fldCharType="separate"/>
      </w:r>
      <w:r>
        <w:rPr>
          <w:rFonts w:hint="eastAsia" w:hAnsi="宋体" w:cs="宋体"/>
          <w:color w:val="auto"/>
          <w:szCs w:val="21"/>
        </w:rPr>
        <w:t>④</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5 \* GB3 \* MERGEFORMAT </w:instrText>
      </w:r>
      <w:r>
        <w:rPr>
          <w:rFonts w:ascii="Times New Roman"/>
          <w:snapToGrid w:val="0"/>
          <w:color w:val="auto"/>
          <w:spacing w:val="-16"/>
          <w:kern w:val="21"/>
          <w:szCs w:val="21"/>
        </w:rPr>
        <w:fldChar w:fldCharType="separate"/>
      </w:r>
      <w:r>
        <w:rPr>
          <w:rFonts w:hint="eastAsia" w:hAnsi="宋体" w:cs="宋体"/>
          <w:color w:val="auto"/>
          <w:szCs w:val="21"/>
        </w:rPr>
        <w:t>⑤</w:t>
      </w:r>
      <w:r>
        <w:rPr>
          <w:rFonts w:ascii="Times New Roman"/>
          <w:snapToGrid w:val="0"/>
          <w:color w:val="auto"/>
          <w:spacing w:val="-16"/>
          <w:kern w:val="21"/>
          <w:szCs w:val="21"/>
        </w:rPr>
        <w:fldChar w:fldCharType="end"/>
      </w:r>
      <w:r>
        <w:rPr>
          <w:rFonts w:ascii="Times New Roman"/>
          <w:snapToGrid w:val="0"/>
          <w:color w:val="auto"/>
          <w:spacing w:val="-1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7 \* GB3 \* MERGEFORMAT </w:instrText>
      </w:r>
      <w:r>
        <w:rPr>
          <w:rFonts w:ascii="Times New Roman"/>
          <w:snapToGrid w:val="0"/>
          <w:color w:val="auto"/>
          <w:spacing w:val="-6"/>
          <w:kern w:val="21"/>
          <w:szCs w:val="21"/>
        </w:rPr>
        <w:fldChar w:fldCharType="separate"/>
      </w:r>
      <w:r>
        <w:rPr>
          <w:rFonts w:hint="eastAsia" w:hAnsi="宋体" w:cs="宋体"/>
          <w:color w:val="auto"/>
          <w:szCs w:val="21"/>
        </w:rPr>
        <w:t>⑦</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6 \* GB3 \* MERGEFORMAT </w:instrText>
      </w:r>
      <w:r>
        <w:rPr>
          <w:rFonts w:ascii="Times New Roman"/>
          <w:snapToGrid w:val="0"/>
          <w:color w:val="auto"/>
          <w:spacing w:val="-16"/>
          <w:kern w:val="21"/>
          <w:szCs w:val="21"/>
        </w:rPr>
        <w:fldChar w:fldCharType="separate"/>
      </w:r>
      <w:r>
        <w:rPr>
          <w:rFonts w:hint="eastAsia" w:hAnsi="宋体" w:cs="宋体"/>
          <w:color w:val="auto"/>
          <w:szCs w:val="21"/>
        </w:rPr>
        <w:t>⑥</w:t>
      </w:r>
      <w:r>
        <w:rPr>
          <w:rFonts w:ascii="Times New Roman"/>
          <w:snapToGrid w:val="0"/>
          <w:color w:val="auto"/>
          <w:spacing w:val="-16"/>
          <w:kern w:val="21"/>
          <w:szCs w:val="21"/>
        </w:rPr>
        <w:fldChar w:fldCharType="end"/>
      </w:r>
      <w:r>
        <w:rPr>
          <w:rFonts w:ascii="Times New Roman"/>
          <w:snapToGrid w:val="0"/>
          <w:color w:val="auto"/>
          <w:spacing w:val="-1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1 \* GB3 \* MERGEFORMAT </w:instrText>
      </w:r>
      <w:r>
        <w:rPr>
          <w:rFonts w:ascii="Times New Roman"/>
          <w:snapToGrid w:val="0"/>
          <w:color w:val="auto"/>
          <w:spacing w:val="-6"/>
          <w:kern w:val="21"/>
          <w:szCs w:val="21"/>
        </w:rPr>
        <w:fldChar w:fldCharType="separate"/>
      </w:r>
      <w:r>
        <w:rPr>
          <w:rFonts w:hint="eastAsia" w:hAnsi="宋体" w:cs="宋体"/>
          <w:color w:val="auto"/>
          <w:szCs w:val="21"/>
        </w:rPr>
        <w:t>①</w:t>
      </w:r>
      <w:r>
        <w:rPr>
          <w:rFonts w:ascii="Times New Roman"/>
          <w:snapToGrid w:val="0"/>
          <w:color w:val="auto"/>
          <w:spacing w:val="-6"/>
          <w:kern w:val="21"/>
          <w:szCs w:val="21"/>
        </w:rPr>
        <w:fldChar w:fldCharType="end"/>
      </w:r>
      <w:bookmarkEnd w:id="20"/>
      <w:bookmarkStart w:id="22" w:name="_Hlk155873647"/>
      <w:bookmarkEnd w:id="22"/>
    </w:p>
    <w:p>
      <w:pPr>
        <w:adjustRightInd w:val="0"/>
        <w:snapToGrid w:val="0"/>
        <w:jc w:val="center"/>
        <w:outlineLvl w:val="0"/>
        <w:rPr>
          <w:bCs/>
          <w:color w:val="auto"/>
          <w:sz w:val="72"/>
          <w:szCs w:val="72"/>
        </w:rPr>
      </w:pPr>
    </w:p>
    <w:p>
      <w:pPr>
        <w:adjustRightInd w:val="0"/>
        <w:snapToGrid w:val="0"/>
        <w:jc w:val="center"/>
        <w:outlineLvl w:val="0"/>
        <w:rPr>
          <w:bCs/>
          <w:color w:val="auto"/>
          <w:sz w:val="72"/>
          <w:szCs w:val="72"/>
        </w:rPr>
      </w:pPr>
    </w:p>
    <w:p>
      <w:pPr>
        <w:adjustRightInd w:val="0"/>
        <w:snapToGrid w:val="0"/>
        <w:jc w:val="center"/>
        <w:outlineLvl w:val="0"/>
        <w:rPr>
          <w:bCs/>
          <w:color w:val="auto"/>
          <w:sz w:val="72"/>
          <w:szCs w:val="72"/>
        </w:rPr>
      </w:pPr>
    </w:p>
    <w:bookmarkEnd w:id="2"/>
    <w:p>
      <w:pPr>
        <w:spacing w:after="120" w:afterLines="50"/>
        <w:ind w:firstLine="420" w:firstLineChars="200"/>
        <w:jc w:val="left"/>
        <w:rPr>
          <w:color w:val="auto"/>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行楷">
    <w:altName w:val="微软雅黑"/>
    <w:panose1 w:val="0201080004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8"/>
      </w:rPr>
    </w:pPr>
    <w:r>
      <w:fldChar w:fldCharType="begin"/>
    </w:r>
    <w:r>
      <w:rPr>
        <w:rStyle w:val="18"/>
      </w:rPr>
      <w:instrText xml:space="preserve">PAGE  </w:instrText>
    </w:r>
    <w:r>
      <w:fldChar w:fldCharType="separate"/>
    </w:r>
    <w:r>
      <w:rPr>
        <w:rStyle w:val="18"/>
      </w:rPr>
      <w:t>5</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10"/>
      <w:jc w:val="center"/>
    </w:pPr>
    <w:r>
      <w:fldChar w:fldCharType="begin"/>
    </w:r>
    <w:r>
      <w:instrText xml:space="preserve">PAGE   \* MERGEFORMAT</w:instrText>
    </w:r>
    <w:r>
      <w:fldChar w:fldCharType="separate"/>
    </w:r>
    <w:r>
      <w:rPr>
        <w:lang w:val="zh-CN"/>
      </w:rPr>
      <w:t>14</w:t>
    </w:r>
    <w:r>
      <w:fldChar w:fldCharType="end"/>
    </w:r>
  </w:p>
  <w:p>
    <w:pPr>
      <w:pStyle w:val="8"/>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0YjZlZTE5MTBiZjRlYjU3ZjVhZjYzNDY4NzE1NjkifQ=="/>
  </w:docVars>
  <w:rsids>
    <w:rsidRoot w:val="6E67215C"/>
    <w:rsid w:val="00E91C84"/>
    <w:rsid w:val="086F132F"/>
    <w:rsid w:val="30CF4042"/>
    <w:rsid w:val="34D14458"/>
    <w:rsid w:val="43F65591"/>
    <w:rsid w:val="54F9222C"/>
    <w:rsid w:val="5ACB60F6"/>
    <w:rsid w:val="672D2CA8"/>
    <w:rsid w:val="6A654C95"/>
    <w:rsid w:val="6B4E238E"/>
    <w:rsid w:val="6E672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宋体"/>
      <w:bCs/>
      <w:szCs w:val="20"/>
    </w:rPr>
  </w:style>
  <w:style w:type="paragraph" w:styleId="4">
    <w:name w:val="Body Text"/>
    <w:basedOn w:val="1"/>
    <w:qFormat/>
    <w:uiPriority w:val="0"/>
    <w:pPr>
      <w:widowControl/>
      <w:snapToGrid w:val="0"/>
      <w:spacing w:before="60" w:after="160" w:line="259" w:lineRule="auto"/>
      <w:ind w:right="113"/>
    </w:pPr>
    <w:rPr>
      <w:kern w:val="0"/>
      <w:sz w:val="18"/>
      <w:szCs w:val="18"/>
    </w:rPr>
  </w:style>
  <w:style w:type="paragraph" w:styleId="5">
    <w:name w:val="Body Text Indent"/>
    <w:basedOn w:val="1"/>
    <w:next w:val="6"/>
    <w:qFormat/>
    <w:uiPriority w:val="0"/>
    <w:pPr>
      <w:spacing w:after="120"/>
      <w:ind w:left="420" w:leftChars="200"/>
    </w:pPr>
    <w:rPr>
      <w:kern w:val="0"/>
      <w:sz w:val="24"/>
      <w:szCs w:val="20"/>
    </w:rPr>
  </w:style>
  <w:style w:type="paragraph" w:styleId="6">
    <w:name w:val="header"/>
    <w:basedOn w:val="1"/>
    <w:next w:val="7"/>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7">
    <w:name w:val="样式5"/>
    <w:basedOn w:val="1"/>
    <w:qFormat/>
    <w:uiPriority w:val="0"/>
    <w:pPr>
      <w:spacing w:before="0" w:after="0" w:line="380" w:lineRule="exact"/>
      <w:ind w:firstLine="566" w:firstLineChars="202"/>
    </w:pPr>
    <w:rPr>
      <w:rFonts w:eastAsia="华文行楷"/>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toc 1"/>
    <w:basedOn w:val="1"/>
    <w:next w:val="1"/>
    <w:qFormat/>
    <w:uiPriority w:val="39"/>
    <w:pPr>
      <w:tabs>
        <w:tab w:val="right" w:leader="dot" w:pos="8364"/>
      </w:tabs>
      <w:spacing w:before="120" w:after="120" w:line="520" w:lineRule="exact"/>
      <w:jc w:val="left"/>
    </w:pPr>
    <w:rPr>
      <w:rFonts w:ascii="仿宋_GB2312" w:eastAsia="仿宋_GB2312"/>
      <w:b/>
      <w:bCs/>
      <w:caps/>
      <w:kern w:val="44"/>
      <w:sz w:val="24"/>
    </w:rPr>
  </w:style>
  <w:style w:type="paragraph" w:styleId="10">
    <w:name w:val="toc 2"/>
    <w:basedOn w:val="1"/>
    <w:next w:val="1"/>
    <w:unhideWhenUsed/>
    <w:qFormat/>
    <w:uiPriority w:val="39"/>
    <w:pPr>
      <w:ind w:left="420" w:leftChars="200"/>
    </w:pPr>
  </w:style>
  <w:style w:type="paragraph" w:styleId="11">
    <w:name w:val="Body Text 2"/>
    <w:basedOn w:val="1"/>
    <w:qFormat/>
    <w:uiPriority w:val="99"/>
    <w:pPr>
      <w:spacing w:after="120" w:line="480" w:lineRule="auto"/>
    </w:p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paragraph" w:styleId="13">
    <w:name w:val="Body Text First Indent"/>
    <w:basedOn w:val="4"/>
    <w:next w:val="1"/>
    <w:qFormat/>
    <w:uiPriority w:val="0"/>
    <w:pPr>
      <w:spacing w:after="120"/>
      <w:ind w:firstLine="420" w:firstLineChars="100"/>
    </w:pPr>
  </w:style>
  <w:style w:type="paragraph" w:styleId="14">
    <w:name w:val="Body Text First Indent 2"/>
    <w:basedOn w:val="5"/>
    <w:qFormat/>
    <w:uiPriority w:val="0"/>
    <w:pPr>
      <w:adjustRightInd/>
      <w:spacing w:after="120" w:line="240" w:lineRule="auto"/>
      <w:ind w:left="420" w:leftChars="200" w:firstLine="420" w:firstLineChars="200"/>
    </w:pPr>
    <w:rPr>
      <w:rFonts w:ascii="Times New Roman" w:hAnsi="Times New Roman" w:eastAsia="宋体" w:cs="Times New Roman"/>
      <w:color w:val="auto"/>
      <w:sz w:val="21"/>
      <w:szCs w:val="21"/>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Hyperlink"/>
    <w:qFormat/>
    <w:uiPriority w:val="99"/>
    <w:rPr>
      <w:color w:val="0000FF"/>
      <w:u w:val="single"/>
    </w:rPr>
  </w:style>
  <w:style w:type="character" w:styleId="20">
    <w:name w:val="annotation reference"/>
    <w:basedOn w:val="17"/>
    <w:semiHidden/>
    <w:qFormat/>
    <w:uiPriority w:val="0"/>
    <w:rPr>
      <w:sz w:val="21"/>
    </w:rPr>
  </w:style>
  <w:style w:type="paragraph" w:customStyle="1" w:styleId="21">
    <w:name w:val="Normal (Web)1"/>
    <w:basedOn w:val="1"/>
    <w:next w:val="22"/>
    <w:qFormat/>
    <w:uiPriority w:val="0"/>
    <w:pPr>
      <w:widowControl/>
    </w:pPr>
    <w:rPr>
      <w:rFonts w:ascii="宋体"/>
      <w:sz w:val="24"/>
      <w:szCs w:val="21"/>
    </w:rPr>
  </w:style>
  <w:style w:type="paragraph" w:customStyle="1" w:styleId="22">
    <w:name w:val="Date1"/>
    <w:basedOn w:val="1"/>
    <w:next w:val="1"/>
    <w:qFormat/>
    <w:uiPriority w:val="0"/>
    <w:pPr>
      <w:ind w:left="2500" w:leftChars="2500"/>
    </w:pPr>
  </w:style>
  <w:style w:type="paragraph" w:customStyle="1" w:styleId="23">
    <w:name w:val="11111"/>
    <w:basedOn w:val="1"/>
    <w:next w:val="1"/>
    <w:qFormat/>
    <w:uiPriority w:val="0"/>
    <w:pPr>
      <w:spacing w:line="360" w:lineRule="auto"/>
      <w:ind w:firstLine="200" w:firstLineChars="200"/>
    </w:pPr>
    <w:rPr>
      <w:rFonts w:hAnsi="宋体" w:cs="宋体"/>
      <w:szCs w:val="24"/>
    </w:rPr>
  </w:style>
  <w:style w:type="paragraph" w:customStyle="1" w:styleId="24">
    <w:name w:val="- 页码 -"/>
    <w:qFormat/>
    <w:uiPriority w:val="0"/>
    <w:pPr>
      <w:widowControl w:val="0"/>
      <w:spacing w:line="360" w:lineRule="auto"/>
      <w:ind w:firstLine="200" w:firstLineChars="200"/>
      <w:jc w:val="both"/>
    </w:pPr>
    <w:rPr>
      <w:rFonts w:ascii="Calibri" w:hAnsi="Calibri" w:eastAsia="宋体" w:cs="Times New Roman"/>
      <w:kern w:val="2"/>
      <w:sz w:val="24"/>
      <w:lang w:val="en-US" w:eastAsia="zh-CN" w:bidi="ar-SA"/>
    </w:rPr>
  </w:style>
  <w:style w:type="paragraph" w:styleId="25">
    <w:name w:val="No Spacing"/>
    <w:next w:val="1"/>
    <w:qFormat/>
    <w:uiPriority w:val="0"/>
    <w:rPr>
      <w:rFonts w:ascii="Calibri" w:hAnsi="Calibri" w:eastAsia="宋体" w:cs="Times New Roman"/>
      <w:sz w:val="22"/>
      <w:szCs w:val="22"/>
      <w:lang w:val="en-US" w:eastAsia="zh-CN" w:bidi="ar-SA"/>
    </w:rPr>
  </w:style>
  <w:style w:type="paragraph" w:customStyle="1" w:styleId="26">
    <w:name w:val="样式"/>
    <w:basedOn w:val="1"/>
    <w:next w:val="1"/>
    <w:qFormat/>
    <w:uiPriority w:val="0"/>
    <w:pPr>
      <w:spacing w:line="360" w:lineRule="auto"/>
      <w:ind w:firstLine="482"/>
    </w:pPr>
    <w:rPr>
      <w:rFonts w:ascii="宋体" w:cs="宋体"/>
      <w:kern w:val="10"/>
      <w:sz w:val="28"/>
      <w:szCs w:val="20"/>
    </w:rPr>
  </w:style>
  <w:style w:type="paragraph" w:customStyle="1" w:styleId="27">
    <w:name w:val="表格内容"/>
    <w:basedOn w:val="1"/>
    <w:qFormat/>
    <w:uiPriority w:val="0"/>
    <w:rPr>
      <w:rFonts w:hAnsi="宋体"/>
      <w:sz w:val="28"/>
      <w:szCs w:val="28"/>
    </w:rPr>
  </w:style>
  <w:style w:type="paragraph" w:customStyle="1" w:styleId="28">
    <w:name w:val="正文21"/>
    <w:basedOn w:val="13"/>
    <w:qFormat/>
    <w:uiPriority w:val="0"/>
    <w:pPr>
      <w:adjustRightInd w:val="0"/>
      <w:spacing w:after="0" w:line="360" w:lineRule="auto"/>
      <w:ind w:firstLine="480" w:firstLineChars="200"/>
    </w:pPr>
    <w:rPr>
      <w:color w:val="7030A0"/>
      <w:sz w:val="24"/>
      <w:szCs w:val="22"/>
    </w:rPr>
  </w:style>
  <w:style w:type="paragraph" w:customStyle="1" w:styleId="29">
    <w:name w:val="表头"/>
    <w:basedOn w:val="1"/>
    <w:next w:val="1"/>
    <w:qFormat/>
    <w:uiPriority w:val="0"/>
    <w:pPr>
      <w:spacing w:line="360" w:lineRule="auto"/>
      <w:jc w:val="center"/>
    </w:pPr>
    <w:rPr>
      <w:rFonts w:eastAsia="黑体"/>
    </w:rPr>
  </w:style>
  <w:style w:type="paragraph" w:customStyle="1" w:styleId="30">
    <w:name w:val="表格"/>
    <w:basedOn w:val="1"/>
    <w:next w:val="1"/>
    <w:qFormat/>
    <w:uiPriority w:val="0"/>
    <w:pPr>
      <w:adjustRightInd w:val="0"/>
      <w:snapToGrid w:val="0"/>
      <w:spacing w:beforeLines="10" w:afterLines="10" w:line="259" w:lineRule="auto"/>
      <w:jc w:val="center"/>
    </w:pPr>
    <w:rPr>
      <w:rFonts w:ascii="宋体"/>
      <w:kern w:val="0"/>
      <w:sz w:val="20"/>
      <w:szCs w:val="21"/>
    </w:rPr>
  </w:style>
  <w:style w:type="paragraph" w:customStyle="1" w:styleId="31">
    <w:name w:val="《正文》"/>
    <w:basedOn w:val="1"/>
    <w:qFormat/>
    <w:uiPriority w:val="0"/>
    <w:pPr>
      <w:spacing w:line="360" w:lineRule="auto"/>
      <w:ind w:firstLine="200" w:firstLineChars="200"/>
    </w:pPr>
    <w:rPr>
      <w:sz w:val="24"/>
    </w:rPr>
  </w:style>
  <w:style w:type="paragraph" w:customStyle="1" w:styleId="32">
    <w:name w:val="【表头】"/>
    <w:basedOn w:val="1"/>
    <w:qFormat/>
    <w:uiPriority w:val="0"/>
    <w:pPr>
      <w:adjustRightInd w:val="0"/>
      <w:snapToGrid w:val="0"/>
      <w:spacing w:line="500" w:lineRule="exact"/>
      <w:ind w:firstLine="0" w:firstLineChars="0"/>
      <w:jc w:val="center"/>
    </w:pPr>
    <w:rPr>
      <w:rFonts w:eastAsia="黑体"/>
      <w:kern w:val="0"/>
      <w:szCs w:val="20"/>
    </w:rPr>
  </w:style>
  <w:style w:type="paragraph" w:styleId="33">
    <w:name w:val="List Paragraph"/>
    <w:basedOn w:val="1"/>
    <w:qFormat/>
    <w:uiPriority w:val="34"/>
    <w:pPr>
      <w:ind w:firstLine="420" w:firstLineChars="200"/>
    </w:pPr>
  </w:style>
  <w:style w:type="paragraph" w:customStyle="1" w:styleId="34">
    <w:name w:val="内容"/>
    <w:basedOn w:val="1"/>
    <w:qFormat/>
    <w:uiPriority w:val="0"/>
    <w:pPr>
      <w:spacing w:beforeLines="50" w:afterLines="50"/>
      <w:ind w:firstLine="200" w:firstLineChars="200"/>
    </w:pPr>
    <w:rPr>
      <w:color w:val="000000"/>
      <w:sz w:val="24"/>
    </w:rPr>
  </w:style>
  <w:style w:type="paragraph" w:customStyle="1" w:styleId="35">
    <w:name w:val="Char Char Char Char Char Char Char2"/>
    <w:basedOn w:val="1"/>
    <w:qFormat/>
    <w:uiPriority w:val="0"/>
    <w:pPr>
      <w:snapToGrid w:val="0"/>
      <w:spacing w:line="360" w:lineRule="auto"/>
      <w:ind w:firstLine="529" w:firstLineChars="200"/>
    </w:pPr>
  </w:style>
  <w:style w:type="paragraph" w:customStyle="1" w:styleId="36">
    <w:name w:val="C首行缩进正文"/>
    <w:basedOn w:val="1"/>
    <w:qFormat/>
    <w:uiPriority w:val="0"/>
    <w:pPr>
      <w:spacing w:line="360" w:lineRule="auto"/>
      <w:ind w:firstLine="200" w:firstLineChars="200"/>
    </w:pPr>
    <w:rPr>
      <w:color w:val="000000"/>
      <w:kern w:val="0"/>
    </w:rPr>
  </w:style>
  <w:style w:type="paragraph" w:customStyle="1" w:styleId="37">
    <w:name w:val="表格题目"/>
    <w:basedOn w:val="1"/>
    <w:qFormat/>
    <w:uiPriority w:val="0"/>
    <w:pPr>
      <w:spacing w:line="240" w:lineRule="atLeast"/>
      <w:jc w:val="center"/>
    </w:pPr>
    <w:rPr>
      <w:rFonts w:ascii="黑体" w:hAnsi="宋体" w:eastAsia="黑体"/>
      <w:sz w:val="24"/>
    </w:rPr>
  </w:style>
  <w:style w:type="paragraph" w:customStyle="1" w:styleId="38">
    <w:name w:val="【表中文字】"/>
    <w:basedOn w:val="1"/>
    <w:qFormat/>
    <w:uiPriority w:val="0"/>
    <w:pPr>
      <w:jc w:val="center"/>
    </w:pPr>
    <w:rPr>
      <w:rFonts w:eastAsia="仿宋"/>
      <w:kern w:val="0"/>
      <w:szCs w:val="20"/>
    </w:rPr>
  </w:style>
  <w:style w:type="paragraph" w:customStyle="1" w:styleId="39">
    <w:name w:val="C【表中文字】-"/>
    <w:basedOn w:val="1"/>
    <w:qFormat/>
    <w:uiPriority w:val="0"/>
    <w:pPr>
      <w:adjustRightInd w:val="0"/>
      <w:snapToGrid w:val="0"/>
      <w:jc w:val="center"/>
    </w:pPr>
    <w:rPr>
      <w:kern w:val="0"/>
      <w:sz w:val="18"/>
      <w:szCs w:val="20"/>
    </w:rPr>
  </w:style>
  <w:style w:type="paragraph" w:customStyle="1" w:styleId="40">
    <w:name w:val="正文格式"/>
    <w:basedOn w:val="1"/>
    <w:qFormat/>
    <w:uiPriority w:val="0"/>
    <w:pPr>
      <w:spacing w:line="360" w:lineRule="auto"/>
      <w:ind w:firstLine="482"/>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image" Target="media/image23.png"/><Relationship Id="rId3" Type="http://schemas.openxmlformats.org/officeDocument/2006/relationships/footer" Target="footer1.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jpeg"/><Relationship Id="rId24" Type="http://schemas.openxmlformats.org/officeDocument/2006/relationships/image" Target="media/image17.jpeg"/><Relationship Id="rId23" Type="http://schemas.openxmlformats.org/officeDocument/2006/relationships/image" Target="media/image16.jpeg"/><Relationship Id="rId22" Type="http://schemas.openxmlformats.org/officeDocument/2006/relationships/image" Target="media/image15.jpeg"/><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2024-02-07T23:42:00Z</dcterms:created>
  <dc:creator>Administrator</dc:creator>
  <cp:lastModifiedBy>Administrator</cp:lastModifiedBy>
  <dcterms:modified xsi:type="dcterms:W3CDTF">2024-03-15T07:26:59Z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B502F6B1B07F4589867F7CD7845020CA_11</vt:lpwstr>
  </property>
</Properties>
</file>