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FE2" w:rsidRDefault="003F02F4">
      <w:pPr>
        <w:spacing w:line="58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2019年上半年财政预算执行情况报告</w:t>
      </w:r>
    </w:p>
    <w:p w:rsidR="006F3FE2" w:rsidRDefault="006F3FE2">
      <w:pPr>
        <w:widowControl/>
        <w:spacing w:line="580" w:lineRule="exact"/>
        <w:ind w:leftChars="-171" w:left="-359" w:firstLineChars="112" w:firstLine="358"/>
        <w:jc w:val="left"/>
        <w:rPr>
          <w:rFonts w:ascii="仿宋_GB2312" w:eastAsia="仿宋_GB2312" w:hAnsi="宋体" w:cs="宋体"/>
          <w:color w:val="000000"/>
          <w:kern w:val="0"/>
          <w:sz w:val="32"/>
          <w:szCs w:val="32"/>
        </w:rPr>
      </w:pPr>
    </w:p>
    <w:p w:rsidR="006F3FE2" w:rsidRDefault="003F02F4">
      <w:pPr>
        <w:widowControl/>
        <w:spacing w:line="580" w:lineRule="exact"/>
        <w:ind w:leftChars="-171" w:left="-359" w:firstLineChars="112" w:firstLine="358"/>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主任、各位副主任、各位委员：</w:t>
      </w:r>
    </w:p>
    <w:p w:rsidR="006F3FE2" w:rsidRDefault="003F02F4">
      <w:pPr>
        <w:widowControl/>
        <w:spacing w:line="580" w:lineRule="exact"/>
        <w:ind w:firstLineChars="196" w:firstLine="627"/>
        <w:jc w:val="left"/>
        <w:rPr>
          <w:rFonts w:ascii="宋体" w:eastAsia="宋体" w:hAnsi="宋体" w:cs="宋体"/>
          <w:color w:val="000000"/>
          <w:kern w:val="0"/>
          <w:sz w:val="32"/>
          <w:szCs w:val="32"/>
        </w:rPr>
      </w:pPr>
      <w:r>
        <w:rPr>
          <w:rFonts w:ascii="黑体" w:eastAsia="黑体" w:hAnsi="Calibri" w:cs="宋体" w:hint="eastAsia"/>
          <w:color w:val="000000"/>
          <w:kern w:val="0"/>
          <w:sz w:val="32"/>
          <w:szCs w:val="32"/>
        </w:rPr>
        <w:t>一、上半年财政收支预算执行情况</w:t>
      </w:r>
    </w:p>
    <w:p w:rsidR="006F3FE2" w:rsidRDefault="003F02F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今年以来，区财政局深入贯彻落实党的十九大精神，</w:t>
      </w:r>
      <w:r w:rsidR="0018729E" w:rsidRPr="0018729E">
        <w:rPr>
          <w:rFonts w:ascii="仿宋" w:eastAsia="仿宋" w:hAnsi="仿宋" w:cs="仿宋" w:hint="eastAsia"/>
          <w:sz w:val="32"/>
          <w:szCs w:val="32"/>
        </w:rPr>
        <w:t>以习近平新时代中国特色社会主义思想为指导</w:t>
      </w:r>
      <w:r>
        <w:rPr>
          <w:rFonts w:ascii="仿宋" w:eastAsia="仿宋" w:hAnsi="仿宋" w:cs="仿宋" w:hint="eastAsia"/>
          <w:sz w:val="32"/>
          <w:szCs w:val="32"/>
        </w:rPr>
        <w:t>，紧紧围绕区委、区政府的决策部署和年度任务目标，以供给侧结构性改革为主线，实施更加积极的财政政策，全力支持稳增长、促改革、调结构、惠民生、防风险各项工作，为实现北林全面发展提供有力的财政保障。</w:t>
      </w:r>
    </w:p>
    <w:p w:rsidR="006F3FE2" w:rsidRDefault="003F02F4">
      <w:pPr>
        <w:spacing w:line="58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（一）收入预算执行情况</w:t>
      </w:r>
    </w:p>
    <w:p w:rsidR="006F3FE2" w:rsidRDefault="003F02F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上半年，全口径收入33733万元，同比增收4751万元，增长16.4%。其中，一般公共预算财政收入32314万元，同比增收5143万元，增长18.9%，</w:t>
      </w:r>
      <w:r>
        <w:rPr>
          <w:rFonts w:ascii="仿宋_GB2312" w:eastAsia="仿宋_GB2312" w:hAnsi="Times New Roman" w:cs="宋体" w:hint="eastAsia"/>
          <w:color w:val="000000"/>
          <w:kern w:val="0"/>
          <w:sz w:val="32"/>
          <w:szCs w:val="32"/>
        </w:rPr>
        <w:t>完成预算目标的58.1%</w:t>
      </w:r>
      <w:r>
        <w:rPr>
          <w:rFonts w:ascii="仿宋" w:eastAsia="仿宋" w:hAnsi="仿宋" w:cs="仿宋" w:hint="eastAsia"/>
          <w:sz w:val="32"/>
          <w:szCs w:val="32"/>
        </w:rPr>
        <w:t>。政府性基金收入1419万元，同比减收392万元，下降21.6%。</w:t>
      </w:r>
    </w:p>
    <w:p w:rsidR="006F3FE2" w:rsidRDefault="003F02F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一般公共预算收入中税收收入完成25908万元，同比增收1865万元，增长7.8%，占一般公共预算收入的80.2%；非税收入完成6406万元，同比增收3278万元，增长104.8%，占一般公共预算收入的19.8%。</w:t>
      </w:r>
    </w:p>
    <w:p w:rsidR="006F3FE2" w:rsidRDefault="003F02F4">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税收收入中，一是受国家出台减税降费政策性和经济下行影响，国内增值税完成2097万元，同比减收286万元，下降12.0%；个人所得税完成1047万元，同比减收132万元，下降11.2%。二是燃油车辆受新能源车辆（新能源车辆免征车船税）交易冲击交易量下降，车船税完成2368万元，同</w:t>
      </w:r>
      <w:r>
        <w:rPr>
          <w:rFonts w:ascii="仿宋" w:eastAsia="仿宋" w:hAnsi="仿宋" w:cs="Times New Roman" w:hint="eastAsia"/>
          <w:sz w:val="32"/>
          <w:szCs w:val="32"/>
        </w:rPr>
        <w:lastRenderedPageBreak/>
        <w:t xml:space="preserve">比减收350万元，下降12.9%。三是本年土地交易量下降，城镇土地使用税完成1782万元，同比减收764万元，下降30.0%；土地增值税完成3066万元，同比减收1033万元，下降25.2%；耕地占用税完成8万元，同比减收1296万元，下降99.4%。四是税务部门进一步加大欠税征缴力度，回收房开建安行业欠税增收较多。其中，改增值税完成5351万元，同比增收1877万元，增长54.0%；企业所得税完成2157万元，同比增收328万元，增长17.9%；城市维护建设税完成1369万元，同比增收216万元，增长18.7；房产税完成1439万元，同比增收395万元，增长37.8%；印花税完成543万元，同比增收127万元，增长30.5%；契税完成4495万元，同比增收2656万元，增长144.4%。 </w:t>
      </w:r>
    </w:p>
    <w:p w:rsidR="006F3FE2" w:rsidRDefault="003F02F4">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非税收入中，增收主要因素为棚户区改造项目未按规定配建廉租住房其他收入增收1321万元，河道管理处砂石承包费缴库1700万元和环保局对排污企业下大力气整治和处罚一次性罚没收入849万元；受国家出台减税降费政策性影响，行政性收费收入完成323万元，同比减收168万元，下降34.2%。</w:t>
      </w:r>
    </w:p>
    <w:p w:rsidR="006F3FE2" w:rsidRDefault="003F02F4">
      <w:pPr>
        <w:spacing w:line="580" w:lineRule="exact"/>
        <w:ind w:firstLineChars="200" w:firstLine="640"/>
        <w:rPr>
          <w:rFonts w:ascii="楷体" w:eastAsia="楷体" w:hAnsi="楷体" w:cs="楷体"/>
          <w:bCs/>
          <w:sz w:val="32"/>
          <w:szCs w:val="32"/>
        </w:rPr>
      </w:pPr>
      <w:r>
        <w:rPr>
          <w:rFonts w:ascii="楷体" w:eastAsia="楷体" w:hAnsi="楷体" w:cs="楷体" w:hint="eastAsia"/>
          <w:bCs/>
          <w:sz w:val="32"/>
          <w:szCs w:val="32"/>
        </w:rPr>
        <w:t>（二）支出预算执行情况</w:t>
      </w:r>
    </w:p>
    <w:p w:rsidR="006F3FE2" w:rsidRDefault="003F02F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上半年，财政总支出完成277830万元，同比增长62693万元，增长29.1%。其中，全口径支出完成215137万元，同比增加60353万元，增长39.0%。一般公共预算支出完成276807万元，同比增长62887万元，增长29.4%。</w:t>
      </w:r>
    </w:p>
    <w:p w:rsidR="006F3FE2" w:rsidRDefault="003F02F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其中，一般公共服务支出完成12272万元，同比增长</w:t>
      </w:r>
      <w:r>
        <w:rPr>
          <w:rFonts w:ascii="仿宋" w:eastAsia="仿宋" w:hAnsi="仿宋" w:cs="仿宋" w:hint="eastAsia"/>
          <w:sz w:val="32"/>
          <w:szCs w:val="32"/>
        </w:rPr>
        <w:lastRenderedPageBreak/>
        <w:t>2800万元，增长29.6%；公共安全支出完成4491万元，同比减少50万元，下降1.1%；教育支出完成33901万元，同比增长3448万元，增长11.3%；科学技术支出完成99万元，同比减少32万元，下降24.4%；文化旅游体育与传媒支出完成565万元，同比减少321万元，下降36.2%；社会保障和就业支出完成91658万元，同比增长16446万元，增长21.9%；卫生健康支出完成35585万元，同比增长8544万元，增长31.6%；节能环保支出完成13100万元，同比增长12829万元，增长4733.9%；城乡社区支出完成28542万元，同比增长25770万元，增长929.7%；农林水支出完成40253万元，同比减少1335万元，下降3.2%；交通运输支出完成7917万元，同比减少8732万元，下降52.4%；资源勘探信息等支出完成750万元，同比增长620万元，增长476.9%；商业服务业等支出完成393万元，同比增长268万元，增长214.4%；自然资源海洋气象等支出完成81万元，同比减少7万元，下降8%；住房保障支出完成4026万元，同比减少114万元，下降2.8%；粮油物资储备支出完成1240万元，同比增长1077万元，增长660.7%；灾害防治及应急管理支出完成605万元，同比增长605万元；债务付息支出完成1327万元，同比增长1069万元，增长414.3%；债务发行费用支出完成2万元，同比增长2万元。</w:t>
      </w:r>
    </w:p>
    <w:p w:rsidR="006F3FE2" w:rsidRDefault="003F02F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政府性基金预算支出完成1023万元，同比减少194万元，下降15.9%。 </w:t>
      </w:r>
    </w:p>
    <w:p w:rsidR="006F3FE2" w:rsidRDefault="003F02F4">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二、财政预算执行的主要特点</w:t>
      </w:r>
    </w:p>
    <w:p w:rsidR="006F3FE2" w:rsidRDefault="003F02F4">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从我区上半年的财政预算执行情况来看，主要有以下几个方面的特点：</w:t>
      </w:r>
    </w:p>
    <w:p w:rsidR="006F3FE2" w:rsidRDefault="003F02F4">
      <w:pPr>
        <w:ind w:firstLineChars="200" w:firstLine="640"/>
        <w:rPr>
          <w:rFonts w:ascii="仿宋" w:eastAsia="仿宋" w:hAnsi="仿宋" w:cs="仿宋"/>
          <w:sz w:val="32"/>
          <w:szCs w:val="32"/>
        </w:rPr>
      </w:pPr>
      <w:r>
        <w:rPr>
          <w:rFonts w:ascii="楷体_GB2312" w:eastAsia="楷体_GB2312" w:hAnsi="楷体_GB2312" w:cs="楷体_GB2312" w:hint="eastAsia"/>
          <w:sz w:val="32"/>
          <w:szCs w:val="32"/>
        </w:rPr>
        <w:t>（一）攻坚克难抓收入。</w:t>
      </w:r>
      <w:r>
        <w:rPr>
          <w:rFonts w:ascii="仿宋" w:eastAsia="仿宋" w:hAnsi="仿宋" w:cs="仿宋" w:hint="eastAsia"/>
          <w:sz w:val="32"/>
          <w:szCs w:val="32"/>
        </w:rPr>
        <w:t>2019年，我区组织收入工作遇到前所未有的严峻复杂局面，特别是政策性减税降费影响突显。在区委、区政府的坚强领导下，全区财税部门坚持实事求是、科学合理、依法依规组织收入，在夯实财政基础、确保财政可持续的前提下，密切配合、强化征管、深入挖潜。一是加强部门联动，深化协税护税。建立健全“政府主导、财税牵头、部门配合、信息共享”的协税护税工作机制，切实加强税收征管，规范发票管理，堵塞税收漏洞，培植壮大财源，促进税收与经济协调增长。二是强化税收征管，加强税源管理。紧紧围绕财源建设抓税源，围绕税源抓增收，建立财源建设和税源管控的长效机制，突出重点行业、重点税源企业挖潜增收、强管严控增收。三是积极培植财源，增强发展后劲。落实资金加快产业园区的基础设施建设，支持各项招商引资政策的落实，鼓励积极引进高新技术产业、环保产业和高附加值产业落户园区。</w:t>
      </w:r>
    </w:p>
    <w:p w:rsidR="006F3FE2" w:rsidRDefault="003F02F4">
      <w:pPr>
        <w:ind w:firstLineChars="200" w:firstLine="640"/>
        <w:rPr>
          <w:rFonts w:ascii="仿宋" w:eastAsia="仿宋" w:hAnsi="仿宋" w:cs="仿宋"/>
          <w:sz w:val="32"/>
          <w:szCs w:val="32"/>
        </w:rPr>
      </w:pPr>
      <w:r>
        <w:rPr>
          <w:rFonts w:ascii="楷体_GB2312" w:eastAsia="楷体_GB2312" w:hAnsi="楷体_GB2312" w:cs="楷体_GB2312" w:hint="eastAsia"/>
          <w:sz w:val="32"/>
          <w:szCs w:val="32"/>
        </w:rPr>
        <w:t>（二）优化支出保民生。</w:t>
      </w:r>
      <w:r>
        <w:rPr>
          <w:rFonts w:ascii="仿宋" w:eastAsia="仿宋" w:hAnsi="仿宋" w:cs="仿宋" w:hint="eastAsia"/>
          <w:sz w:val="32"/>
          <w:szCs w:val="32"/>
        </w:rPr>
        <w:t>落实以人民为中心的发展思想，坚持保基本、兜底线、补短板，重点提升幼有所育、学有所教、劳有所得、病有所医、老有所养、住有所居、弱有所扶水平。一是支持办好民生实事。将财力的90%以上用于实施民生工程，继续加大民生工程实施力度，重点推进人民群众</w:t>
      </w:r>
      <w:r>
        <w:rPr>
          <w:rFonts w:ascii="仿宋" w:eastAsia="仿宋" w:hAnsi="仿宋" w:cs="仿宋" w:hint="eastAsia"/>
          <w:sz w:val="32"/>
          <w:szCs w:val="32"/>
        </w:rPr>
        <w:lastRenderedPageBreak/>
        <w:t>最关心、最直接、最现实的民生工程，全力办好医疗保障、教育文化、群众生产生活等方面涉及群众切身利益的实事，补齐全面小康短板。二是支持打好脱贫攻坚战。坚持把脱贫攻坚作为第一民生工程，在财力十分紧张的情况下，区级财政支持脱贫攻坚资金今年安排1000万元。重点聚焦贫困村基础设施建设，贫困户增收长效机制，坚持以脱贫攻坚统揽财政工作全局，把脱贫攻坚作为财政优先保障内容。三是支持乡村振兴战略实施。通过调整完善区乡财政体制，增加乡镇财力，加大乡村投入力度，区级安排财政资金1934万元，重点推进乡村环境卫生整治、村屯绿化、田园综合体建设和厕所革命等项目的有效实施，推动农业农村现代化步伐加快。今年1－6月，全区民生重点支出完成21.96亿元（含专项和债券支出），增长46.5%。</w:t>
      </w:r>
    </w:p>
    <w:p w:rsidR="006F3FE2" w:rsidRDefault="003F02F4">
      <w:pPr>
        <w:ind w:firstLineChars="200" w:firstLine="640"/>
        <w:rPr>
          <w:rFonts w:ascii="仿宋" w:eastAsia="仿宋" w:hAnsi="仿宋" w:cs="仿宋"/>
          <w:sz w:val="32"/>
          <w:szCs w:val="32"/>
        </w:rPr>
      </w:pPr>
      <w:r>
        <w:rPr>
          <w:rFonts w:ascii="楷体_GB2312" w:eastAsia="楷体_GB2312" w:hAnsi="楷体_GB2312" w:cs="楷体_GB2312" w:hint="eastAsia"/>
          <w:sz w:val="32"/>
          <w:szCs w:val="32"/>
        </w:rPr>
        <w:t>（三）创新机制助发展。</w:t>
      </w:r>
      <w:r>
        <w:rPr>
          <w:rFonts w:ascii="仿宋" w:eastAsia="仿宋" w:hAnsi="仿宋" w:cs="仿宋" w:hint="eastAsia"/>
          <w:sz w:val="32"/>
          <w:szCs w:val="32"/>
        </w:rPr>
        <w:t>积极落实上级财政部门及区委、区政府部署，创新体制机制，压实推进措施，推动各项改革任务落到实处。一是积极配合区委、区政府完成机构改革任务。认真做好机构改革中部门预算调整、债务债权变更、基础资料信息变更、国库集中支付业务调整、银行账户开设、变更及撤销等财政业务工作。二是严控地方政府债务风险。严格实行地方政府债务预算管理和限额管理，遏制隐性债务增量，控制政府债务率，全区债务风险可控。今年1－6月，共争取债券资金3.82亿元，没有新增隐性债务。三是加快</w:t>
      </w:r>
      <w:r>
        <w:rPr>
          <w:rFonts w:ascii="仿宋" w:eastAsia="仿宋" w:hAnsi="仿宋" w:cs="仿宋" w:hint="eastAsia"/>
          <w:sz w:val="32"/>
          <w:szCs w:val="32"/>
        </w:rPr>
        <w:lastRenderedPageBreak/>
        <w:t>建立现代预算制度。加大预算公开力度，在政府门户网站集中统一公开全区208个部门预算，覆盖所有使用财政资金的部门，方便社会公众查阅监督。加大存量资金盘活和统筹使用力度，上半年全区累计盘活3721万元，优化了资源配置，提高了财政资金使用效益。</w:t>
      </w:r>
    </w:p>
    <w:p w:rsidR="006F3FE2" w:rsidRDefault="003F02F4">
      <w:pPr>
        <w:ind w:firstLineChars="200" w:firstLine="640"/>
        <w:rPr>
          <w:rFonts w:ascii="仿宋" w:eastAsia="仿宋" w:hAnsi="仿宋" w:cs="仿宋"/>
          <w:sz w:val="32"/>
          <w:szCs w:val="32"/>
        </w:rPr>
      </w:pPr>
      <w:r>
        <w:rPr>
          <w:rFonts w:ascii="楷体_GB2312" w:eastAsia="楷体_GB2312" w:hAnsi="楷体_GB2312" w:cs="楷体_GB2312" w:hint="eastAsia"/>
          <w:sz w:val="32"/>
          <w:szCs w:val="32"/>
        </w:rPr>
        <w:t>（四）精细管理上水平。</w:t>
      </w:r>
      <w:r>
        <w:rPr>
          <w:rFonts w:ascii="仿宋" w:eastAsia="仿宋" w:hAnsi="仿宋" w:cs="仿宋" w:hint="eastAsia"/>
          <w:sz w:val="32"/>
          <w:szCs w:val="32"/>
        </w:rPr>
        <w:t>围绕进一步提高财政精细化、科学化管理水平，全方位加强财政管理工作，为全区经济社会发展提供优质的财政服务。一是深化预算绩效管理。进一步扩大纳入绩效目标管理的区本级项目支出比重，对于部门预算的项目支出，将绩效管理覆盖面参照省本级控制在30万元以上。对于30万元以上的项目，填报绩效目标，包括事前评估、目标管理、执行监控、自评价、再评价、结果运用等。同时，开展扶贫资金运行情况监控，及时录入2018年已纳入扶贫监控平台的扶贫项目资金绩效目标完成情况。二是严格投资评审管理。制定、完善内部管理制度，进一步规范了业务流程、细化了内部管理。今年1－6月，共受理审结项目24个，送审金额1.35亿元，审定金额1.19亿元，审减金额0.16亿元，审减率11.9%。三是加强减税降费政策措施的落实。多平台、多渠道、广覆盖的开展减税降费政策宣传和辅导。利用多个纳税人微信群及税政通知微信群，第一时间将减税降费税收优惠政策转发给纳税人，同时将各项政策在办税服务厅公告栏张贴、大屏幕滚动播放，印制政策</w:t>
      </w:r>
      <w:r>
        <w:rPr>
          <w:rFonts w:ascii="仿宋" w:eastAsia="仿宋" w:hAnsi="仿宋" w:cs="仿宋" w:hint="eastAsia"/>
          <w:sz w:val="32"/>
          <w:szCs w:val="32"/>
        </w:rPr>
        <w:lastRenderedPageBreak/>
        <w:t>宣传单1.8万份，发送减税降费宣传短信3.1万条，覆盖了北林区范围内所有纳税人。利用移动办税车逐户向企业法人、财务人员发放、宣传。连续开展6场面对面培训，覆盖减免税企业1183户。</w:t>
      </w:r>
    </w:p>
    <w:p w:rsidR="006F3FE2" w:rsidRDefault="003F02F4">
      <w:pPr>
        <w:ind w:firstLineChars="200" w:firstLine="640"/>
        <w:rPr>
          <w:rFonts w:ascii="仿宋" w:eastAsia="仿宋" w:hAnsi="仿宋" w:cs="仿宋"/>
          <w:sz w:val="32"/>
          <w:szCs w:val="32"/>
        </w:rPr>
      </w:pPr>
      <w:r>
        <w:rPr>
          <w:rFonts w:ascii="楷体_GB2312" w:eastAsia="楷体_GB2312" w:hAnsi="楷体_GB2312" w:cs="楷体_GB2312" w:hint="eastAsia"/>
          <w:sz w:val="32"/>
          <w:szCs w:val="32"/>
        </w:rPr>
        <w:t>（五）改进作风提效能。</w:t>
      </w:r>
      <w:r>
        <w:rPr>
          <w:rFonts w:ascii="仿宋" w:eastAsia="仿宋" w:hAnsi="仿宋" w:cs="仿宋" w:hint="eastAsia"/>
          <w:sz w:val="32"/>
          <w:szCs w:val="32"/>
        </w:rPr>
        <w:t>以十九大精神和习近平新时代中国特色社会主义思想为引领，贯彻落实好区委、区政府部署，突出抓好政治、思想、组织、作风、纪律、制度六项建设，改进工作作风，提升机关效能。一是加强党的建设。扎实开展党的十九大会议精神学习和宣传，积极开展针对十九大的主题、新时代中国特色社会主义思想、两个一百年奋斗目标、从严治党等方面的学习、讨论，从严推动“两学一做”学习教育常态化制度化。二是狠抓作风建设。建立干部绩效考核等长效机制，领导带头深入基层和群众，大力弘扬清廉务实为民、真抓实干和艰苦奋斗、厉行节约的作风，抓好调研和基础工作，重实际、谋发展。三是严格纪律建设。深入贯彻中央八项规定，认真落实党风廉政建设责任制、重大事项报告制度和“一岗双责”制，大力开展党性党纪党风教育，引导党员干部讲党性、重品行、作表率，形成为民、务实、清廉的作风。</w:t>
      </w:r>
    </w:p>
    <w:p w:rsidR="006F3FE2" w:rsidRDefault="003F02F4">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三、下半年工作安排</w:t>
      </w:r>
    </w:p>
    <w:p w:rsidR="006F3FE2" w:rsidRDefault="003F02F4">
      <w:pPr>
        <w:ind w:firstLineChars="200" w:firstLine="640"/>
        <w:rPr>
          <w:rFonts w:ascii="仿宋" w:eastAsia="仿宋" w:hAnsi="仿宋" w:cs="仿宋"/>
          <w:sz w:val="32"/>
          <w:szCs w:val="32"/>
        </w:rPr>
      </w:pPr>
      <w:r>
        <w:rPr>
          <w:rFonts w:ascii="楷体_GB2312" w:eastAsia="楷体_GB2312" w:hAnsi="楷体_GB2312" w:cs="楷体_GB2312" w:hint="eastAsia"/>
          <w:sz w:val="32"/>
          <w:szCs w:val="32"/>
        </w:rPr>
        <w:t>（一）着力优化结构，提高财政收入质量。</w:t>
      </w:r>
      <w:r>
        <w:rPr>
          <w:rFonts w:ascii="仿宋" w:eastAsia="仿宋" w:hAnsi="仿宋" w:cs="仿宋" w:hint="eastAsia"/>
          <w:sz w:val="32"/>
          <w:szCs w:val="32"/>
        </w:rPr>
        <w:t>充分发挥财政职能，支持营造良好的经济发展环境，促进区域经济结构</w:t>
      </w:r>
      <w:r>
        <w:rPr>
          <w:rFonts w:ascii="仿宋" w:eastAsia="仿宋" w:hAnsi="仿宋" w:cs="仿宋" w:hint="eastAsia"/>
          <w:sz w:val="32"/>
          <w:szCs w:val="32"/>
        </w:rPr>
        <w:lastRenderedPageBreak/>
        <w:t>优化调整。全力支持园区建设，加大扶持重点企业、主导产业、重点行业、新兴产业发展。着力优化调整收入结构，坚持既提高财政收入总量，又注重财政收入质量。推进依法理财，积极落实国家减税降费政策，加强收入清理稽查，做到依法征收，应收尽收。</w:t>
      </w:r>
    </w:p>
    <w:p w:rsidR="006F3FE2" w:rsidRDefault="003F02F4">
      <w:pPr>
        <w:ind w:firstLineChars="200" w:firstLine="640"/>
        <w:rPr>
          <w:rFonts w:ascii="仿宋" w:eastAsia="仿宋" w:hAnsi="仿宋" w:cs="仿宋"/>
          <w:sz w:val="32"/>
          <w:szCs w:val="32"/>
        </w:rPr>
      </w:pPr>
      <w:r>
        <w:rPr>
          <w:rFonts w:ascii="楷体_GB2312" w:eastAsia="楷体_GB2312" w:hAnsi="楷体_GB2312" w:cs="楷体_GB2312" w:hint="eastAsia"/>
          <w:sz w:val="32"/>
          <w:szCs w:val="32"/>
        </w:rPr>
        <w:t>（二）着力保障重点，服务区域经济发展。</w:t>
      </w:r>
      <w:r>
        <w:rPr>
          <w:rFonts w:ascii="仿宋" w:eastAsia="仿宋" w:hAnsi="仿宋" w:cs="仿宋" w:hint="eastAsia"/>
          <w:sz w:val="32"/>
          <w:szCs w:val="32"/>
        </w:rPr>
        <w:t>深入调整优化支出结构，严控一般性支出，在保工资、保运转、保民生、保债券还本付息和保企业养老保险的基础上，全力保障重大重点项目建设、产业转型升级等。积极争取上级资金支持，创新投融资方式，进一步推进政府和社会资本合作（PPP）模式。加大财政投入，整合撬动社会资金，扩大产业引导资金规模，加快推动新兴产业转型升级。</w:t>
      </w:r>
    </w:p>
    <w:p w:rsidR="006F3FE2" w:rsidRDefault="003F02F4">
      <w:pPr>
        <w:ind w:firstLineChars="200" w:firstLine="640"/>
        <w:rPr>
          <w:rFonts w:ascii="仿宋" w:eastAsia="仿宋" w:hAnsi="仿宋" w:cs="仿宋"/>
          <w:sz w:val="32"/>
          <w:szCs w:val="32"/>
        </w:rPr>
      </w:pPr>
      <w:r>
        <w:rPr>
          <w:rFonts w:ascii="楷体_GB2312" w:eastAsia="楷体_GB2312" w:hAnsi="楷体_GB2312" w:cs="楷体_GB2312" w:hint="eastAsia"/>
          <w:sz w:val="32"/>
          <w:szCs w:val="32"/>
        </w:rPr>
        <w:t>（三）着力改革创新，提升理财能力水平。</w:t>
      </w:r>
      <w:r>
        <w:rPr>
          <w:rFonts w:ascii="仿宋" w:eastAsia="仿宋" w:hAnsi="仿宋" w:cs="仿宋" w:hint="eastAsia"/>
          <w:sz w:val="32"/>
          <w:szCs w:val="32"/>
        </w:rPr>
        <w:t>强化预算统筹，完善预算支出定额标准，推进政府预算经济分类改革。严格执行人大预算，依法、依规、按程序使用财政资金，推进财政结余结转存量资金常态化管理，盘活存量、优化增量。深化国库集中收付制度改革，合理拨付和调度资金，提高预算执行的均衡性和规范性。推进综合治税平台建设，完善涉税部门信息共享制度。加强国有资产管理，有效防范资产流失,保障国有资产保值增值。严格政府性债务管理，建立债务风险预警和监测机制，切实防范债务风险。</w:t>
      </w:r>
    </w:p>
    <w:p w:rsidR="006F3FE2" w:rsidRDefault="003F02F4">
      <w:pPr>
        <w:ind w:firstLineChars="200" w:firstLine="640"/>
        <w:rPr>
          <w:rFonts w:ascii="仿宋" w:eastAsia="仿宋" w:hAnsi="仿宋" w:cs="仿宋"/>
          <w:sz w:val="32"/>
          <w:szCs w:val="32"/>
        </w:rPr>
      </w:pPr>
      <w:r>
        <w:rPr>
          <w:rFonts w:ascii="楷体_GB2312" w:eastAsia="楷体_GB2312" w:hAnsi="楷体_GB2312" w:cs="楷体_GB2312" w:hint="eastAsia"/>
          <w:sz w:val="32"/>
          <w:szCs w:val="32"/>
        </w:rPr>
        <w:t>（四）着力绩效监管，提高资金使用效益。</w:t>
      </w:r>
      <w:r>
        <w:rPr>
          <w:rFonts w:ascii="仿宋" w:eastAsia="仿宋" w:hAnsi="仿宋" w:cs="仿宋" w:hint="eastAsia"/>
          <w:sz w:val="32"/>
          <w:szCs w:val="32"/>
        </w:rPr>
        <w:t>进一步推行</w:t>
      </w:r>
      <w:r>
        <w:rPr>
          <w:rFonts w:ascii="仿宋" w:eastAsia="仿宋" w:hAnsi="仿宋" w:cs="仿宋" w:hint="eastAsia"/>
          <w:sz w:val="32"/>
          <w:szCs w:val="32"/>
        </w:rPr>
        <w:lastRenderedPageBreak/>
        <w:t>公务卡制度，严控“三公”经费等公务消费支出。加强重点民生支出和重大专项支出的绩效评价，强化绩效评价的结果运用及问责机制。强化财政监督检查，严格查处专项资金挤占挪用等违反财经纪律行为，不断提升财政资金监管水平。进一步规范完善财政投资评审程序及方式，提升财政投资评审工作效率。深化政府采购、政府购买服务改革，不断规范政府采购行为，扩大政府购买服务范围和规模。</w:t>
      </w:r>
    </w:p>
    <w:p w:rsidR="006F3FE2" w:rsidRDefault="003F02F4">
      <w:pPr>
        <w:ind w:firstLineChars="200" w:firstLine="640"/>
        <w:rPr>
          <w:rFonts w:ascii="仿宋" w:eastAsia="仿宋" w:hAnsi="仿宋" w:cs="仿宋"/>
          <w:sz w:val="32"/>
          <w:szCs w:val="32"/>
        </w:rPr>
      </w:pPr>
      <w:r>
        <w:rPr>
          <w:rFonts w:ascii="楷体_GB2312" w:eastAsia="楷体_GB2312" w:hAnsi="楷体_GB2312" w:cs="楷体_GB2312" w:hint="eastAsia"/>
          <w:sz w:val="32"/>
          <w:szCs w:val="32"/>
        </w:rPr>
        <w:t>（五）着力提高素质，推进财政队伍建设。</w:t>
      </w:r>
      <w:r>
        <w:rPr>
          <w:rFonts w:ascii="仿宋" w:eastAsia="仿宋" w:hAnsi="仿宋" w:cs="仿宋" w:hint="eastAsia"/>
          <w:sz w:val="32"/>
          <w:szCs w:val="32"/>
        </w:rPr>
        <w:t>一是抓好廉政建设。坚持把党的纪律和规矩挺在前面，落实党风廉政建设主体责任和监督责任，确保财政干部遵规守纪、廉洁自律。二是抓好基层党建。推进“两学一做”学习教育常态化制度化，加强基层党组织建设，不断提高基层党建工作水平。三是抓好学习培训。健全干部教育培训常态化机制，大力开展政治理论和财政业务学习培训，提升干部职工综合素质和业务水平。不断改进干部作风，优化财政服务，提高工作效率，树立财政部门良好形象。</w:t>
      </w:r>
    </w:p>
    <w:p w:rsidR="006F3FE2" w:rsidRDefault="003F02F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主任、各位副主任、各位委员，做好今年财政工作，任务艰巨，责任重大。我们将在区委的正确领导下，自觉接受区人大常委会的监督指导，坚定信心、积极进取、锐意创新、扎实工作，为推动北林经济跨越升级，促进北林全面振兴发展，做出应有的贡献！</w:t>
      </w:r>
    </w:p>
    <w:p w:rsidR="001F07B1" w:rsidRDefault="001F07B1">
      <w:pPr>
        <w:spacing w:line="580" w:lineRule="exact"/>
        <w:ind w:firstLineChars="200" w:firstLine="640"/>
        <w:rPr>
          <w:rFonts w:ascii="仿宋" w:eastAsia="仿宋" w:hAnsi="仿宋" w:cs="仿宋"/>
          <w:noProof/>
          <w:sz w:val="32"/>
          <w:szCs w:val="32"/>
        </w:rPr>
      </w:pPr>
    </w:p>
    <w:p w:rsidR="001F07B1" w:rsidRDefault="001F07B1" w:rsidP="001F07B1">
      <w:pPr>
        <w:ind w:firstLineChars="200" w:firstLine="640"/>
        <w:rPr>
          <w:rFonts w:ascii="仿宋" w:eastAsia="仿宋" w:hAnsi="仿宋" w:cs="仿宋"/>
          <w:sz w:val="32"/>
          <w:szCs w:val="32"/>
        </w:rPr>
      </w:pPr>
      <w:r>
        <w:rPr>
          <w:rFonts w:ascii="仿宋" w:eastAsia="仿宋" w:hAnsi="仿宋" w:cs="仿宋"/>
          <w:noProof/>
          <w:sz w:val="32"/>
          <w:szCs w:val="32"/>
        </w:rPr>
        <w:lastRenderedPageBreak/>
        <w:drawing>
          <wp:inline distT="0" distB="0" distL="0" distR="0">
            <wp:extent cx="4746625" cy="886333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10526145408.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746625" cy="8863330"/>
                    </a:xfrm>
                    <a:prstGeom prst="rect">
                      <a:avLst/>
                    </a:prstGeom>
                  </pic:spPr>
                </pic:pic>
              </a:graphicData>
            </a:graphic>
          </wp:inline>
        </w:drawing>
      </w:r>
    </w:p>
    <w:p w:rsidR="001F07B1" w:rsidRDefault="001F07B1" w:rsidP="001F07B1">
      <w:pPr>
        <w:ind w:firstLineChars="200" w:firstLine="640"/>
        <w:rPr>
          <w:rFonts w:ascii="仿宋" w:eastAsia="仿宋" w:hAnsi="仿宋" w:cs="仿宋"/>
          <w:sz w:val="32"/>
          <w:szCs w:val="32"/>
        </w:rPr>
      </w:pPr>
      <w:r>
        <w:rPr>
          <w:rFonts w:ascii="仿宋" w:eastAsia="仿宋" w:hAnsi="仿宋" w:cs="仿宋"/>
          <w:noProof/>
          <w:sz w:val="32"/>
          <w:szCs w:val="32"/>
        </w:rPr>
        <w:lastRenderedPageBreak/>
        <w:drawing>
          <wp:inline distT="0" distB="0" distL="0" distR="0">
            <wp:extent cx="4860290" cy="88633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210526145417.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860290" cy="8863330"/>
                    </a:xfrm>
                    <a:prstGeom prst="rect">
                      <a:avLst/>
                    </a:prstGeom>
                  </pic:spPr>
                </pic:pic>
              </a:graphicData>
            </a:graphic>
          </wp:inline>
        </w:drawing>
      </w:r>
    </w:p>
    <w:p w:rsidR="001F07B1" w:rsidRDefault="001F07B1" w:rsidP="001F07B1">
      <w:pPr>
        <w:ind w:firstLineChars="200" w:firstLine="640"/>
        <w:rPr>
          <w:rFonts w:ascii="仿宋" w:eastAsia="仿宋" w:hAnsi="仿宋" w:cs="仿宋"/>
          <w:sz w:val="32"/>
          <w:szCs w:val="32"/>
        </w:rPr>
      </w:pPr>
      <w:r>
        <w:rPr>
          <w:rFonts w:ascii="仿宋" w:eastAsia="仿宋" w:hAnsi="仿宋" w:cs="仿宋"/>
          <w:noProof/>
          <w:sz w:val="32"/>
          <w:szCs w:val="32"/>
        </w:rPr>
        <w:lastRenderedPageBreak/>
        <w:drawing>
          <wp:inline distT="0" distB="0" distL="0" distR="0">
            <wp:extent cx="4884420" cy="88633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10526150018.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884420" cy="8863330"/>
                    </a:xfrm>
                    <a:prstGeom prst="rect">
                      <a:avLst/>
                    </a:prstGeom>
                  </pic:spPr>
                </pic:pic>
              </a:graphicData>
            </a:graphic>
          </wp:inline>
        </w:drawing>
      </w:r>
      <w:bookmarkStart w:id="0" w:name="_GoBack"/>
      <w:bookmarkEnd w:id="0"/>
    </w:p>
    <w:sectPr w:rsidR="001F07B1" w:rsidSect="001542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808" w:rsidRDefault="00E85808" w:rsidP="0018729E">
      <w:r>
        <w:separator/>
      </w:r>
    </w:p>
  </w:endnote>
  <w:endnote w:type="continuationSeparator" w:id="0">
    <w:p w:rsidR="00E85808" w:rsidRDefault="00E85808" w:rsidP="001872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808" w:rsidRDefault="00E85808" w:rsidP="0018729E">
      <w:r>
        <w:separator/>
      </w:r>
    </w:p>
  </w:footnote>
  <w:footnote w:type="continuationSeparator" w:id="0">
    <w:p w:rsidR="00E85808" w:rsidRDefault="00E85808" w:rsidP="001872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A251B8A"/>
    <w:rsid w:val="00154273"/>
    <w:rsid w:val="0018729E"/>
    <w:rsid w:val="001F07B1"/>
    <w:rsid w:val="003F02F4"/>
    <w:rsid w:val="006F3FE2"/>
    <w:rsid w:val="00E85808"/>
    <w:rsid w:val="329A0963"/>
    <w:rsid w:val="5A251B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427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54273"/>
    <w:pPr>
      <w:tabs>
        <w:tab w:val="center" w:pos="4153"/>
        <w:tab w:val="right" w:pos="8306"/>
      </w:tabs>
      <w:snapToGrid w:val="0"/>
      <w:jc w:val="left"/>
    </w:pPr>
    <w:rPr>
      <w:sz w:val="18"/>
    </w:rPr>
  </w:style>
  <w:style w:type="paragraph" w:styleId="a4">
    <w:name w:val="header"/>
    <w:basedOn w:val="a"/>
    <w:rsid w:val="0015427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E13183-61C0-4FC6-B0FA-2CDBA007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769</Words>
  <Characters>4384</Characters>
  <Application>Microsoft Office Word</Application>
  <DocSecurity>0</DocSecurity>
  <Lines>36</Lines>
  <Paragraphs>10</Paragraphs>
  <ScaleCrop>false</ScaleCrop>
  <Company>DoubleOX</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cp:revision>
  <dcterms:created xsi:type="dcterms:W3CDTF">2019-07-23T01:04:00Z</dcterms:created>
  <dcterms:modified xsi:type="dcterms:W3CDTF">2023-06-13T02:00:00Z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