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简体" w:hAnsi="黑体" w:eastAsia="方正小标宋简体" w:cs="黑体"/>
          <w:sz w:val="44"/>
          <w:szCs w:val="44"/>
        </w:rPr>
      </w:pPr>
      <w:bookmarkStart w:id="0" w:name="_GoBack"/>
      <w:bookmarkEnd w:id="0"/>
      <w:r>
        <w:rPr>
          <w:rFonts w:hint="eastAsia" w:ascii="方正小标宋简体" w:hAnsi="黑体" w:eastAsia="方正小标宋简体" w:cs="黑体"/>
          <w:sz w:val="44"/>
          <w:szCs w:val="44"/>
        </w:rPr>
        <w:t>2019年上半年财政预算执行情况报告</w:t>
      </w:r>
    </w:p>
    <w:p>
      <w:pPr>
        <w:widowControl/>
        <w:spacing w:line="580" w:lineRule="exact"/>
        <w:ind w:left="-359" w:leftChars="-171" w:firstLine="358" w:firstLineChars="112"/>
        <w:jc w:val="left"/>
        <w:rPr>
          <w:rFonts w:ascii="仿宋_GB2312" w:hAnsi="宋体" w:eastAsia="仿宋_GB2312" w:cs="宋体"/>
          <w:color w:val="000000"/>
          <w:kern w:val="0"/>
          <w:sz w:val="32"/>
          <w:szCs w:val="32"/>
        </w:rPr>
      </w:pPr>
    </w:p>
    <w:p>
      <w:pPr>
        <w:widowControl/>
        <w:spacing w:line="580" w:lineRule="exact"/>
        <w:ind w:left="-359" w:leftChars="-171" w:firstLine="358" w:firstLineChars="112"/>
        <w:jc w:val="left"/>
        <w:rPr>
          <w:rFonts w:ascii="宋体" w:hAnsi="宋体" w:eastAsia="宋体" w:cs="宋体"/>
          <w:color w:val="000000"/>
          <w:kern w:val="0"/>
          <w:sz w:val="24"/>
          <w:szCs w:val="24"/>
        </w:rPr>
      </w:pPr>
      <w:r>
        <w:rPr>
          <w:rFonts w:hint="eastAsia" w:ascii="仿宋_GB2312" w:hAnsi="宋体" w:eastAsia="仿宋_GB2312" w:cs="宋体"/>
          <w:color w:val="000000"/>
          <w:kern w:val="0"/>
          <w:sz w:val="32"/>
          <w:szCs w:val="32"/>
        </w:rPr>
        <w:t>主任、各位副主任、各位委员：</w:t>
      </w:r>
    </w:p>
    <w:p>
      <w:pPr>
        <w:widowControl/>
        <w:spacing w:line="580" w:lineRule="exact"/>
        <w:ind w:firstLine="627" w:firstLineChars="196"/>
        <w:jc w:val="left"/>
        <w:rPr>
          <w:rFonts w:ascii="宋体" w:hAnsi="宋体" w:eastAsia="宋体" w:cs="宋体"/>
          <w:color w:val="000000"/>
          <w:kern w:val="0"/>
          <w:sz w:val="32"/>
          <w:szCs w:val="32"/>
        </w:rPr>
      </w:pPr>
      <w:r>
        <w:rPr>
          <w:rFonts w:hint="eastAsia" w:ascii="黑体" w:hAnsi="Calibri" w:eastAsia="黑体" w:cs="宋体"/>
          <w:color w:val="000000"/>
          <w:kern w:val="0"/>
          <w:sz w:val="32"/>
          <w:szCs w:val="32"/>
        </w:rPr>
        <w:t>一、上半年财政收支预算执行情况</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今年以来，区财政局深入贯彻落实党的十九大精神，以习近平新时代中国特色社会主义思想为指导，紧紧围绕区委、区政府的决策部署和年度任务目标，以供给侧结构性改革为主线，实施更加积极的财政政策，全力支持稳增长、促改革、调结构、惠民生、防风险各项工作，为实现北林全面发展提供有力的财政保障。</w:t>
      </w:r>
    </w:p>
    <w:p>
      <w:pPr>
        <w:spacing w:line="580" w:lineRule="exact"/>
        <w:ind w:firstLine="640" w:firstLineChars="200"/>
        <w:rPr>
          <w:rFonts w:ascii="楷体" w:hAnsi="楷体" w:eastAsia="楷体" w:cs="楷体"/>
          <w:bCs/>
          <w:sz w:val="32"/>
          <w:szCs w:val="32"/>
        </w:rPr>
      </w:pPr>
      <w:r>
        <w:rPr>
          <w:rFonts w:hint="eastAsia" w:ascii="楷体" w:hAnsi="楷体" w:eastAsia="楷体" w:cs="楷体"/>
          <w:bCs/>
          <w:sz w:val="32"/>
          <w:szCs w:val="32"/>
        </w:rPr>
        <w:t>（一）收入预算执行情况</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上半年，全口径收入33733万元，同比增收4751万元，增长16.4%。其中，一般公共预算财政收入32314万元，同比增收5143万元，增长18.9%，</w:t>
      </w:r>
      <w:r>
        <w:rPr>
          <w:rFonts w:hint="eastAsia" w:ascii="仿宋_GB2312" w:hAnsi="Times New Roman" w:eastAsia="仿宋_GB2312" w:cs="宋体"/>
          <w:color w:val="000000"/>
          <w:kern w:val="0"/>
          <w:sz w:val="32"/>
          <w:szCs w:val="32"/>
        </w:rPr>
        <w:t>完成预算目标的58.1%</w:t>
      </w:r>
      <w:r>
        <w:rPr>
          <w:rFonts w:hint="eastAsia" w:ascii="仿宋" w:hAnsi="仿宋" w:eastAsia="仿宋" w:cs="仿宋"/>
          <w:sz w:val="32"/>
          <w:szCs w:val="32"/>
        </w:rPr>
        <w:t>。政府性基金收入1419万元，同比减收392万元，下降21.6%。</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一般公共预算收入中税收收入完成25908万元，同比增收1865万元，增长7.8%，占一般公共预算收入的80.2%；非税收入完成6406万元，同比增收3278万元，增长104.8%，占一般公共预算收入的19.8%。</w:t>
      </w:r>
    </w:p>
    <w:p>
      <w:pPr>
        <w:spacing w:line="56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 xml:space="preserve">税收收入中，一是受国家出台减税降费政策性和经济下行影响，国内增值税完成2097万元，同比减收286万元，下降12.0%；个人所得税完成1047万元，同比减收132万元，下降11.2%。二是燃油车辆受新能源车辆（新能源车辆免征车船税）交易冲击交易量下降，车船税完成2368万元，同比减收350万元，下降12.9%。三是本年土地交易量下降，城镇土地使用税完成1782万元，同比减收764万元，下降30.0%；土地增值税完成3066万元，同比减收1033万元，下降25.2%；耕地占用税完成8万元，同比减收1296万元，下降99.4%。四是税务部门进一步加大欠税征缴力度，回收房开建安行业欠税增收较多。其中，改增值税完成5351万元，同比增收1877万元，增长54.0%；企业所得税完成2157万元，同比增收328万元，增长17.9%；城市维护建设税完成1369万元，同比增收216万元，增长18.7；房产税完成1439万元，同比增收395万元，增长37.8%；印花税完成543万元，同比增收127万元，增长30.5%；契税完成4495万元，同比增收2656万元，增长144.4%。 </w:t>
      </w:r>
    </w:p>
    <w:p>
      <w:pPr>
        <w:spacing w:line="56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非税收入中，增收主要因素为棚户区改造项目未按规定配建廉租住房其他收入增收1321万元，河道管理处砂石承包费缴库1700万元和环保局对排污企业下大力气整治和处罚一次性罚没收入849万元；受国家出台减税降费政策性影响，行政性收费收入完成323万元，同比减收168万元，下降34.2%。</w:t>
      </w:r>
    </w:p>
    <w:p>
      <w:pPr>
        <w:spacing w:line="580" w:lineRule="exact"/>
        <w:ind w:firstLine="640" w:firstLineChars="200"/>
        <w:rPr>
          <w:rFonts w:ascii="楷体" w:hAnsi="楷体" w:eastAsia="楷体" w:cs="楷体"/>
          <w:bCs/>
          <w:sz w:val="32"/>
          <w:szCs w:val="32"/>
        </w:rPr>
      </w:pPr>
      <w:r>
        <w:rPr>
          <w:rFonts w:hint="eastAsia" w:ascii="楷体" w:hAnsi="楷体" w:eastAsia="楷体" w:cs="楷体"/>
          <w:bCs/>
          <w:sz w:val="32"/>
          <w:szCs w:val="32"/>
        </w:rPr>
        <w:t>（二）支出预算执行情况</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上半年，财政总支出完成277830万元，同比增长62693万元，增长29.1%。其中，全口径支出完成215137万元，同比增加60353万元，增长39.0%。一般公共预算支出完成276807万元，同比增长62887万元，增长29.4%。</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 其中，一般公共服务支出完成12272万元，同比增长2800万元，增长29.6%；公共安全支出完成4491万元，同比减少50万元，下降1.1%；教育支出完成33901万元，同比增长3448万元，增长11.3%；科学技术支出完成99万元，同比减少32万元，下降24.4%；文化旅游体育与传媒支出完成565万元，同比减少321万元，下降36.2%；社会保障和就业支出完成91658万元，同比增长16446万元，增长21.9%；卫生健康支出完成35585万元，同比增长8544万元，增长31.6%；节能环保支出完成13100万元，同比增长12829万元，增长4733.9%；城乡社区支出完成28542万元，同比增长25770万元，增长929.7%；农林水支出完成40253万元，同比减少1335万元，下降3.2%；交通运输支出完成7917万元，同比减少8732万元，下降52.4%；资源勘探信息等支出完成750万元，同比增长620万元，增长476.9%；商业服务业等支出完成393万元，同比增长268万元，增长214.4%；自然资源海洋气象等支出完成81万元，同比减少7万元，下降8%；住房保障支出完成4026万元，同比减少114万元，下降2.8%；粮油物资储备支出完成1240万元，同比增长1077万元，增长660.7%；灾害防治及应急管理支出完成605万元，同比增长605万元；债务付息支出完成1327万元，同比增长1069万元，增长414.3%；债务发行费用支出完成2万元，同比增长2万元。</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政府性基金预算支出完成1023万元，同比减少194万元，下降15.9%。 </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二、财政预算执行的主要特点</w:t>
      </w:r>
    </w:p>
    <w:p>
      <w:pPr>
        <w:ind w:firstLine="640" w:firstLineChars="200"/>
        <w:rPr>
          <w:rFonts w:ascii="仿宋" w:hAnsi="仿宋" w:eastAsia="仿宋" w:cs="仿宋"/>
          <w:sz w:val="32"/>
          <w:szCs w:val="32"/>
        </w:rPr>
      </w:pPr>
      <w:r>
        <w:rPr>
          <w:rFonts w:hint="eastAsia" w:ascii="仿宋" w:hAnsi="仿宋" w:eastAsia="仿宋" w:cs="仿宋"/>
          <w:sz w:val="32"/>
          <w:szCs w:val="32"/>
        </w:rPr>
        <w:t>从我区上半年的财政预算执行情况来看，主要有以下几个方面的特点：</w:t>
      </w:r>
    </w:p>
    <w:p>
      <w:pPr>
        <w:ind w:firstLine="640" w:firstLineChars="200"/>
        <w:rPr>
          <w:rFonts w:ascii="仿宋" w:hAnsi="仿宋" w:eastAsia="仿宋" w:cs="仿宋"/>
          <w:sz w:val="32"/>
          <w:szCs w:val="32"/>
        </w:rPr>
      </w:pPr>
      <w:r>
        <w:rPr>
          <w:rFonts w:hint="eastAsia" w:ascii="楷体_GB2312" w:hAnsi="楷体_GB2312" w:eastAsia="楷体_GB2312" w:cs="楷体_GB2312"/>
          <w:sz w:val="32"/>
          <w:szCs w:val="32"/>
        </w:rPr>
        <w:t>（一）攻坚克难抓收入。</w:t>
      </w:r>
      <w:r>
        <w:rPr>
          <w:rFonts w:hint="eastAsia" w:ascii="仿宋" w:hAnsi="仿宋" w:eastAsia="仿宋" w:cs="仿宋"/>
          <w:sz w:val="32"/>
          <w:szCs w:val="32"/>
        </w:rPr>
        <w:t>2019年，我区组织收入工作遇到前所未有的严峻复杂局面，特别是政策性减税降费影响突显。在区委、区政府的坚强领导下，全区财税部门坚持实事求是、科学合理、依法依规组织收入，在夯实财政基础、确保财政可持续的前提下，密切配合、强化征管、深入挖潜。一是加强部门联动，深化协税护税。建立健全“政府主导、财税牵头、部门配合、信息共享”的协税护税工作机制，切实加强税收征管，规范发票管理，堵塞税收漏洞，培植壮大财源，促进税收与经济协调增长。二是强化税收征管，加强税源管理。紧紧围绕财源建设抓税源，围绕税源抓增收，建立财源建设和税源管控的长效机制，突出重点行业、重点税源企业挖潜增收、强管严控增收。三是积极培植财源，增强发展后劲。落实资金加快产业园区的基础设施建设，支持各项招商引资政策的落实，鼓励积极引进高新技术产业、环保产业和高附加值产业落户园区。</w:t>
      </w:r>
    </w:p>
    <w:p>
      <w:pPr>
        <w:ind w:firstLine="640" w:firstLineChars="200"/>
        <w:rPr>
          <w:rFonts w:ascii="仿宋" w:hAnsi="仿宋" w:eastAsia="仿宋" w:cs="仿宋"/>
          <w:sz w:val="32"/>
          <w:szCs w:val="32"/>
        </w:rPr>
      </w:pPr>
      <w:r>
        <w:rPr>
          <w:rFonts w:hint="eastAsia" w:ascii="楷体_GB2312" w:hAnsi="楷体_GB2312" w:eastAsia="楷体_GB2312" w:cs="楷体_GB2312"/>
          <w:sz w:val="32"/>
          <w:szCs w:val="32"/>
        </w:rPr>
        <w:t>（二）优化支出保民生。</w:t>
      </w:r>
      <w:r>
        <w:rPr>
          <w:rFonts w:hint="eastAsia" w:ascii="仿宋" w:hAnsi="仿宋" w:eastAsia="仿宋" w:cs="仿宋"/>
          <w:sz w:val="32"/>
          <w:szCs w:val="32"/>
        </w:rPr>
        <w:t>落实以人民为中心的发展思想，坚持保基本、兜底线、补短板，重点提升幼有所育、学有所教、劳有所得、病有所医、老有所养、住有所居、弱有所扶水平。一是支持办好民生实事。将财力的90%以上用于实施民生工程，继续加大民生工程实施力度，重点推进人民群众最关心、最直接、最现实的民生工程，全力办好医疗保障、教育文化、群众生产生活等方面涉及群众切身利益的实事，补齐全面小康短板。二是支持打好脱贫攻坚战。坚持把脱贫攻坚作为第一民生工程，在财力十分紧张的情况下，区级财政支持脱贫攻坚资金今年安排1000万元。重点聚焦贫困村基础设施建设，贫困户增收长效机制，坚持以脱贫攻坚统揽财政工作全局，把脱贫攻坚作为财政优先保障内容。三是支持乡村振兴战略实施。通过调整完善区乡财政体制，增加乡镇财力，加大乡村投入力度，区级安排财政资金1934万元，重点推进乡村环境卫生整治、村屯绿化、田园综合体建设和厕所革命等项目的有效实施，推动农业农村现代化步伐加快。今年1－6月，全区民生重点支出完成21.96亿元（含专项和债券支出），增长46.5%。</w:t>
      </w:r>
    </w:p>
    <w:p>
      <w:pPr>
        <w:ind w:firstLine="640" w:firstLineChars="200"/>
        <w:rPr>
          <w:rFonts w:ascii="仿宋" w:hAnsi="仿宋" w:eastAsia="仿宋" w:cs="仿宋"/>
          <w:sz w:val="32"/>
          <w:szCs w:val="32"/>
        </w:rPr>
      </w:pPr>
      <w:r>
        <w:rPr>
          <w:rFonts w:hint="eastAsia" w:ascii="楷体_GB2312" w:hAnsi="楷体_GB2312" w:eastAsia="楷体_GB2312" w:cs="楷体_GB2312"/>
          <w:sz w:val="32"/>
          <w:szCs w:val="32"/>
        </w:rPr>
        <w:t>（三）创新机制助发展。</w:t>
      </w:r>
      <w:r>
        <w:rPr>
          <w:rFonts w:hint="eastAsia" w:ascii="仿宋" w:hAnsi="仿宋" w:eastAsia="仿宋" w:cs="仿宋"/>
          <w:sz w:val="32"/>
          <w:szCs w:val="32"/>
        </w:rPr>
        <w:t>积极落实上级财政部门及区委、区政府部署，创新体制机制，压实推进措施，推动各项改革任务落到实处。一是积极配合区委、区政府完成机构改革任务。认真做好机构改革中部门预算调整、债务债权变更、基础资料信息变更、国库集中支付业务调整、银行账户开设、变更及撤销等财政业务工作。二是严控地方政府债务风险。严格实行地方政府债务预算管理和限额管理，遏制隐性债务增量，控制政府债务率，全区债务风险可控。今年1－6月，共争取债券资金3.82亿元，没有新增隐性债务。三是加快建立现代预算制度。加大预算公开力度，在政府门户网站集中统一公开全区208个部门预算，覆盖所有使用财政资金的部门，方便社会公众查阅监督。加大存量资金盘活和统筹使用力度，上半年全区累计盘活3721万元，优化了资源配置，提高了财政资金使用效益。</w:t>
      </w:r>
    </w:p>
    <w:p>
      <w:pPr>
        <w:ind w:firstLine="640" w:firstLineChars="200"/>
        <w:rPr>
          <w:rFonts w:ascii="仿宋" w:hAnsi="仿宋" w:eastAsia="仿宋" w:cs="仿宋"/>
          <w:sz w:val="32"/>
          <w:szCs w:val="32"/>
        </w:rPr>
      </w:pPr>
      <w:r>
        <w:rPr>
          <w:rFonts w:hint="eastAsia" w:ascii="楷体_GB2312" w:hAnsi="楷体_GB2312" w:eastAsia="楷体_GB2312" w:cs="楷体_GB2312"/>
          <w:sz w:val="32"/>
          <w:szCs w:val="32"/>
        </w:rPr>
        <w:t>（四）精细管理上水平。</w:t>
      </w:r>
      <w:r>
        <w:rPr>
          <w:rFonts w:hint="eastAsia" w:ascii="仿宋" w:hAnsi="仿宋" w:eastAsia="仿宋" w:cs="仿宋"/>
          <w:sz w:val="32"/>
          <w:szCs w:val="32"/>
        </w:rPr>
        <w:t>围绕进一步提高财政精细化、科学化管理水平，全方位加强财政管理工作，为全区经济社会发展提供优质的财政服务。一是深化预算绩效管理。进一步扩大纳入绩效目标管理的区本级项目支出比重，对于部门预算的项目支出，将绩效管理覆盖面参照省本级控制在30万元以上。对于30万元以上的项目，填报绩效目标，包括事前评估、目标管理、执行监控、自评价、再评价、结果运用等。同时，开展扶贫资金运行情况监控，及时录入2018年已纳入扶贫监控平台的扶贫项目资金绩效目标完成情况。二是严格投资评审管理。制定、完善内部管理制度，进一步规范了业务流程、细化了内部管理。今年1－6月，共受理审结项目24个，送审金额1.35亿元，审定金额1.19亿元，审减金额0.16亿元，审减率11.9%。三是加强减税降费政策措施的落实。多平台、多渠道、广覆盖的开展减税降费政策宣传和辅导。利用多个纳税人微信群及税政通知微信群，第一时间将减税降费税收优惠政策转发给纳税人，同时将各项政策在办税服务厅公告栏张贴、大屏幕滚动播放，印制政策宣传单1.8万份，发送减税降费宣传短信3.1万条，覆盖了北林区范围内所有纳税人。利用移动办税车逐户向企业法人、财务人员发放、宣传。连续开展6场面对面培训，覆盖减免税企业1183户。</w:t>
      </w:r>
    </w:p>
    <w:p>
      <w:pPr>
        <w:ind w:firstLine="640" w:firstLineChars="200"/>
        <w:rPr>
          <w:rFonts w:ascii="仿宋" w:hAnsi="仿宋" w:eastAsia="仿宋" w:cs="仿宋"/>
          <w:sz w:val="32"/>
          <w:szCs w:val="32"/>
        </w:rPr>
      </w:pPr>
      <w:r>
        <w:rPr>
          <w:rFonts w:hint="eastAsia" w:ascii="楷体_GB2312" w:hAnsi="楷体_GB2312" w:eastAsia="楷体_GB2312" w:cs="楷体_GB2312"/>
          <w:sz w:val="32"/>
          <w:szCs w:val="32"/>
        </w:rPr>
        <w:t>（五）改进作风提效能。</w:t>
      </w:r>
      <w:r>
        <w:rPr>
          <w:rFonts w:hint="eastAsia" w:ascii="仿宋" w:hAnsi="仿宋" w:eastAsia="仿宋" w:cs="仿宋"/>
          <w:sz w:val="32"/>
          <w:szCs w:val="32"/>
        </w:rPr>
        <w:t>以十九大精神和习近平新时代中国特色社会主义思想为引领，贯彻落实好区委、区政府部署，突出抓好政治、思想、组织、作风、纪律、制度六项建设，改进工作作风，提升机关效能。一是加强党的建设。扎实开展</w:t>
      </w:r>
      <w:r>
        <w:rPr>
          <w:rFonts w:hint="eastAsia" w:ascii="仿宋" w:hAnsi="仿宋" w:eastAsia="仿宋" w:cs="仿宋"/>
          <w:sz w:val="32"/>
          <w:szCs w:val="32"/>
          <w:lang w:eastAsia="zh-CN"/>
        </w:rPr>
        <w:t>党的十九大精神</w:t>
      </w:r>
      <w:r>
        <w:rPr>
          <w:rFonts w:hint="eastAsia" w:ascii="仿宋" w:hAnsi="仿宋" w:eastAsia="仿宋" w:cs="仿宋"/>
          <w:sz w:val="32"/>
          <w:szCs w:val="32"/>
        </w:rPr>
        <w:t>学习和宣传，积极开展针对十九大的主题、新时代中国特色社会主义思想、两个一百年奋斗目标、从严治党等方面的学习、讨论，从严推动“两学一做”学习教育常态化制度化。二是狠抓作风建设。建立干部绩效考核等长效机制，领导带头深入基层和群众，大力弘扬清廉务实为民、真抓实干和艰苦奋斗、厉行节约的作风，抓好调研和基础工作，重实际、谋发展。三是严格纪律建设。深入贯彻中央八项规定，认真落实党风廉政建设责任制、重大事项报告制度和“一岗双责”制，大力开展党性党纪党风教育，引导党员干部讲党性、重品行、作表率，形成为民、务实、清廉的作风。</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三、下半年工作安排</w:t>
      </w:r>
    </w:p>
    <w:p>
      <w:pPr>
        <w:ind w:firstLine="640" w:firstLineChars="200"/>
        <w:rPr>
          <w:rFonts w:ascii="仿宋" w:hAnsi="仿宋" w:eastAsia="仿宋" w:cs="仿宋"/>
          <w:sz w:val="32"/>
          <w:szCs w:val="32"/>
        </w:rPr>
      </w:pPr>
      <w:r>
        <w:rPr>
          <w:rFonts w:hint="eastAsia" w:ascii="楷体_GB2312" w:hAnsi="楷体_GB2312" w:eastAsia="楷体_GB2312" w:cs="楷体_GB2312"/>
          <w:sz w:val="32"/>
          <w:szCs w:val="32"/>
        </w:rPr>
        <w:t>（一）着力优化结构，提高财政收入质量。</w:t>
      </w:r>
      <w:r>
        <w:rPr>
          <w:rFonts w:hint="eastAsia" w:ascii="仿宋" w:hAnsi="仿宋" w:eastAsia="仿宋" w:cs="仿宋"/>
          <w:sz w:val="32"/>
          <w:szCs w:val="32"/>
        </w:rPr>
        <w:t>充分发挥财政职能，支持营造良好的经济发展环境，促进区域经济结构优化调整。全力支持园区建设，加大扶持重点企业、主导产业、重点行业、新兴产业发展。着力优化调整收入结构，坚持既提高财政收入总量，又注重财政收入质量。推进依法理财，积极落实国家减税降费政策，加强收入清理稽查，做到依法征收，应收尽收。</w:t>
      </w:r>
    </w:p>
    <w:p>
      <w:pPr>
        <w:ind w:firstLine="640" w:firstLineChars="200"/>
        <w:rPr>
          <w:rFonts w:ascii="仿宋" w:hAnsi="仿宋" w:eastAsia="仿宋" w:cs="仿宋"/>
          <w:sz w:val="32"/>
          <w:szCs w:val="32"/>
        </w:rPr>
      </w:pPr>
      <w:r>
        <w:rPr>
          <w:rFonts w:hint="eastAsia" w:ascii="楷体_GB2312" w:hAnsi="楷体_GB2312" w:eastAsia="楷体_GB2312" w:cs="楷体_GB2312"/>
          <w:sz w:val="32"/>
          <w:szCs w:val="32"/>
        </w:rPr>
        <w:t>（二）着力保障重点，服务区域经济发展。</w:t>
      </w:r>
      <w:r>
        <w:rPr>
          <w:rFonts w:hint="eastAsia" w:ascii="仿宋" w:hAnsi="仿宋" w:eastAsia="仿宋" w:cs="仿宋"/>
          <w:sz w:val="32"/>
          <w:szCs w:val="32"/>
        </w:rPr>
        <w:t>深入调整优化支出结构，严控一般性支出，在保工资、保运转、保民生、保债券还本付息和保企业养老保险的基础上，全力保障重大重点项目建设、产业转型升级等。积极争取上级资金支持，创新投融资方式，进一步推进政府和社会资本合作（PPP）模式。加大财政投入，整合撬动社会资金，扩大产业引导资金规模，加快推动新兴产业转型升级。</w:t>
      </w:r>
    </w:p>
    <w:p>
      <w:pPr>
        <w:ind w:firstLine="640" w:firstLineChars="200"/>
        <w:rPr>
          <w:rFonts w:ascii="仿宋" w:hAnsi="仿宋" w:eastAsia="仿宋" w:cs="仿宋"/>
          <w:sz w:val="32"/>
          <w:szCs w:val="32"/>
        </w:rPr>
      </w:pPr>
      <w:r>
        <w:rPr>
          <w:rFonts w:hint="eastAsia" w:ascii="楷体_GB2312" w:hAnsi="楷体_GB2312" w:eastAsia="楷体_GB2312" w:cs="楷体_GB2312"/>
          <w:sz w:val="32"/>
          <w:szCs w:val="32"/>
        </w:rPr>
        <w:t>（三）着力改革创新，提升理财能力水平。</w:t>
      </w:r>
      <w:r>
        <w:rPr>
          <w:rFonts w:hint="eastAsia" w:ascii="仿宋" w:hAnsi="仿宋" w:eastAsia="仿宋" w:cs="仿宋"/>
          <w:sz w:val="32"/>
          <w:szCs w:val="32"/>
        </w:rPr>
        <w:t>强化预算统筹，完善预算支出定额标准，推进政府预算经济分类改革。严格执行人大预算，依法、依规、按程序使用财政资金，推进财政结余结转存量资金常态化管理，盘活存量、优化增量。深化国库集中收付制度改革，合理拨付和调度资金，提高预算执行的均衡性和规范性。推进综合治税平台建设，完善涉税部门信息共享制度。加强国有资产管理，有效防范资产流失,保障国有资产保值增值。严格政府性债务管理，建立债务风险预警和监测机制，切实防范债务风险。</w:t>
      </w:r>
    </w:p>
    <w:p>
      <w:pPr>
        <w:ind w:firstLine="640" w:firstLineChars="200"/>
        <w:rPr>
          <w:rFonts w:ascii="仿宋" w:hAnsi="仿宋" w:eastAsia="仿宋" w:cs="仿宋"/>
          <w:sz w:val="32"/>
          <w:szCs w:val="32"/>
        </w:rPr>
      </w:pPr>
      <w:r>
        <w:rPr>
          <w:rFonts w:hint="eastAsia" w:ascii="楷体_GB2312" w:hAnsi="楷体_GB2312" w:eastAsia="楷体_GB2312" w:cs="楷体_GB2312"/>
          <w:sz w:val="32"/>
          <w:szCs w:val="32"/>
        </w:rPr>
        <w:t>（四）着力绩效监管，提高资金使用效益。</w:t>
      </w:r>
      <w:r>
        <w:rPr>
          <w:rFonts w:hint="eastAsia" w:ascii="仿宋" w:hAnsi="仿宋" w:eastAsia="仿宋" w:cs="仿宋"/>
          <w:sz w:val="32"/>
          <w:szCs w:val="32"/>
        </w:rPr>
        <w:t>进一步推行公务卡制度，严控“三公”经费等公务消费支出。加强重点民生支出和重大专项支出的绩效评价，强化绩效评价的结果运用及问责机制。强化财政监督检查，严格查处专项资金挤占挪用等违反财经纪律行为，不断提升财政资金监管水平。进一步规范完善财政投资评审程序及方式，提升财政投资评审工作效率。深化政府采购、政府购买服务改革，不断规范政府采购行为，扩大政府购买服务范围和规模。</w:t>
      </w:r>
    </w:p>
    <w:p>
      <w:pPr>
        <w:ind w:firstLine="640" w:firstLineChars="200"/>
        <w:rPr>
          <w:rFonts w:ascii="仿宋" w:hAnsi="仿宋" w:eastAsia="仿宋" w:cs="仿宋"/>
          <w:sz w:val="32"/>
          <w:szCs w:val="32"/>
        </w:rPr>
      </w:pPr>
      <w:r>
        <w:rPr>
          <w:rFonts w:hint="eastAsia" w:ascii="楷体_GB2312" w:hAnsi="楷体_GB2312" w:eastAsia="楷体_GB2312" w:cs="楷体_GB2312"/>
          <w:sz w:val="32"/>
          <w:szCs w:val="32"/>
        </w:rPr>
        <w:t>（五）着力提高素质，推进财政队伍建设。</w:t>
      </w:r>
      <w:r>
        <w:rPr>
          <w:rFonts w:hint="eastAsia" w:ascii="仿宋" w:hAnsi="仿宋" w:eastAsia="仿宋" w:cs="仿宋"/>
          <w:sz w:val="32"/>
          <w:szCs w:val="32"/>
        </w:rPr>
        <w:t>一是抓好廉政建设。坚持把党的纪律和规矩挺在前面，落实党风廉政建设主体责任和监督责任，确保财政干部遵规守纪、廉洁自律。二是抓好基层党建。推进“两学一做”学习教育常态化制度化，加强基层党组织建设，不断提高基层党建工作水平。三是抓好学习培训。健全干部教育培训常态化机制，大力开展政治理论和财政业务学习培训，提升干部职工综合素质和业务水平。不断改进干部作风，优化财政服务，提高工作效率，树立财政部门良好形象。</w:t>
      </w:r>
    </w:p>
    <w:p>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主任、各位副主任、各位委员，做好今年财政工作，任务艰巨，责任重大。我们将在区委的正确领导下，自觉接受区人大常委会的监督指导，坚定信心、积极进取、锐意创新、扎实工作，为推动北林经济跨越升级，促进北林全面振兴发展，做出应有的贡献！</w:t>
      </w:r>
    </w:p>
    <w:p>
      <w:pPr>
        <w:spacing w:line="580" w:lineRule="exact"/>
        <w:ind w:firstLine="640" w:firstLineChars="200"/>
        <w:rPr>
          <w:rFonts w:ascii="仿宋" w:hAnsi="仿宋" w:eastAsia="仿宋" w:cs="仿宋"/>
          <w:sz w:val="32"/>
          <w:szCs w:val="32"/>
        </w:rPr>
      </w:pPr>
    </w:p>
    <w:p>
      <w:pPr>
        <w:ind w:firstLine="640" w:firstLineChars="200"/>
        <w:rPr>
          <w:rFonts w:ascii="仿宋" w:hAnsi="仿宋" w:eastAsia="仿宋" w:cs="仿宋"/>
          <w:sz w:val="32"/>
          <w:szCs w:val="32"/>
        </w:rPr>
      </w:pPr>
      <w:r>
        <w:rPr>
          <w:rFonts w:ascii="仿宋" w:hAnsi="仿宋" w:eastAsia="仿宋" w:cs="仿宋"/>
          <w:sz w:val="32"/>
          <w:szCs w:val="32"/>
        </w:rPr>
        <w:drawing>
          <wp:inline distT="0" distB="0" distL="0" distR="0">
            <wp:extent cx="4746625" cy="886333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4746625" cy="8863330"/>
                    </a:xfrm>
                    <a:prstGeom prst="rect">
                      <a:avLst/>
                    </a:prstGeom>
                  </pic:spPr>
                </pic:pic>
              </a:graphicData>
            </a:graphic>
          </wp:inline>
        </w:drawing>
      </w:r>
    </w:p>
    <w:p>
      <w:pPr>
        <w:ind w:firstLine="640" w:firstLineChars="200"/>
        <w:rPr>
          <w:rFonts w:ascii="仿宋" w:hAnsi="仿宋" w:eastAsia="仿宋" w:cs="仿宋"/>
          <w:sz w:val="32"/>
          <w:szCs w:val="32"/>
        </w:rPr>
      </w:pPr>
      <w:r>
        <w:rPr>
          <w:rFonts w:ascii="仿宋" w:hAnsi="仿宋" w:eastAsia="仿宋" w:cs="仿宋"/>
          <w:sz w:val="32"/>
          <w:szCs w:val="32"/>
        </w:rPr>
        <w:drawing>
          <wp:inline distT="0" distB="0" distL="0" distR="0">
            <wp:extent cx="4860290" cy="88633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860290" cy="8863330"/>
                    </a:xfrm>
                    <a:prstGeom prst="rect">
                      <a:avLst/>
                    </a:prstGeom>
                  </pic:spPr>
                </pic:pic>
              </a:graphicData>
            </a:graphic>
          </wp:inline>
        </w:drawing>
      </w:r>
    </w:p>
    <w:p>
      <w:pPr>
        <w:ind w:firstLine="640" w:firstLineChars="200"/>
        <w:rPr>
          <w:rFonts w:ascii="仿宋" w:hAnsi="仿宋" w:eastAsia="仿宋" w:cs="仿宋"/>
          <w:sz w:val="32"/>
          <w:szCs w:val="32"/>
        </w:rPr>
      </w:pPr>
      <w:r>
        <w:rPr>
          <w:rFonts w:ascii="仿宋" w:hAnsi="仿宋" w:eastAsia="仿宋" w:cs="仿宋"/>
          <w:sz w:val="32"/>
          <w:szCs w:val="32"/>
        </w:rPr>
        <w:drawing>
          <wp:inline distT="0" distB="0" distL="0" distR="0">
            <wp:extent cx="4884420" cy="886333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4884420" cy="8863330"/>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A251B8A"/>
    <w:rsid w:val="00195002"/>
    <w:rsid w:val="001F07B1"/>
    <w:rsid w:val="00383B6D"/>
    <w:rsid w:val="003F02F4"/>
    <w:rsid w:val="006F3FE2"/>
    <w:rsid w:val="00826590"/>
    <w:rsid w:val="009101EF"/>
    <w:rsid w:val="19CD1325"/>
    <w:rsid w:val="324B2020"/>
    <w:rsid w:val="329A0963"/>
    <w:rsid w:val="5A251B8A"/>
    <w:rsid w:val="7FE40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A71EA9-E95D-4828-8FC0-AE29CC69EB75}">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12</Pages>
  <Words>769</Words>
  <Characters>4384</Characters>
  <Lines>36</Lines>
  <Paragraphs>10</Paragraphs>
  <TotalTime>1</TotalTime>
  <ScaleCrop>false</ScaleCrop>
  <LinksUpToDate>false</LinksUpToDate>
  <CharactersWithSpaces>5143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2023-04-05T03:58:00Z</dcterms:created>
  <dc:creator>Administrator</dc:creator>
  <cp:lastModifiedBy>Administrator</cp:lastModifiedBy>
  <dcterms:modified xsi:type="dcterms:W3CDTF">2023-05-11T08:15:26Z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